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transition-planning-guide"/>
    <w:p>
      <w:pPr>
        <w:pStyle w:val="Heading1"/>
      </w:pPr>
      <w:r>
        <w:t xml:space="preserve">Transition Planning Guide</w:t>
      </w:r>
    </w:p>
    <w:bookmarkStart w:id="9" w:name="how-to-use-this-guide"/>
    <w:p>
      <w:pPr>
        <w:pStyle w:val="Heading2"/>
      </w:pPr>
      <w:r>
        <w:t xml:space="preserve">How to use this guide</w:t>
      </w:r>
    </w:p>
    <w:p>
      <w:pPr>
        <w:pStyle w:val="FirstParagraph"/>
      </w:pPr>
      <w:r>
        <w:t xml:space="preserve">This is a practical Bandmate Academy guide for</w:t>
      </w:r>
      <w:r>
        <w:t xml:space="preserve"> </w:t>
      </w:r>
      <w:r>
        <w:rPr>
          <w:b/>
          <w:bCs/>
        </w:rPr>
        <w:t xml:space="preserve">Transition Planning Guide</w:t>
      </w:r>
      <w:r>
        <w:t xml:space="preserve">. Read it with your band, customize fill-in moments, and treat the DOCX as the working copy you mark up together.</w:t>
      </w:r>
    </w:p>
    <w:p>
      <w:pPr>
        <w:pStyle w:val="BodyText"/>
      </w:pPr>
      <w:r>
        <w:t xml:space="preserve">Guide for planning member transitions. Work sections in order, write answers for</w:t>
      </w:r>
      <w:r>
        <w:t xml:space="preserve"> </w:t>
      </w:r>
      <w:r>
        <w:rPr>
          <w:i/>
          <w:iCs/>
        </w:rPr>
        <w:t xml:space="preserve">your</w:t>
      </w:r>
      <w:r>
        <w:t xml:space="preserve"> </w:t>
      </w:r>
      <w:r>
        <w:t xml:space="preserve">lineup, and leave with owners and dates.</w:t>
      </w:r>
    </w:p>
    <w:p>
      <w:pPr>
        <w:pStyle w:val="BodyText"/>
      </w:pPr>
      <w:r>
        <w:rPr>
          <w:b/>
          <w:bCs/>
        </w:rPr>
        <w:t xml:space="preserve">Suggested workflow:</w:t>
      </w:r>
      <w:r>
        <w:t xml:space="preserve"> </w:t>
      </w:r>
      <w:r>
        <w:t xml:space="preserve">(1) skim alone, (2) fill in a 30–45 minute band meeting, (3) store next to calendar and money rules, (4) revisit after lineup or goal changes.</w:t>
      </w:r>
    </w:p>
    <w:p>
      <w:pPr>
        <w:pStyle w:val="BodyText"/>
      </w:pPr>
      <w:r>
        <w:t xml:space="preserve">Members leave and join. Without a transition plan, gear, files, money, and show commitments explode mid-season. Transitions are operations, not only emotions.</w:t>
      </w:r>
    </w:p>
    <w:bookmarkEnd w:id="9"/>
    <w:bookmarkStart w:id="10" w:name="departure-transfer-list"/>
    <w:p>
      <w:pPr>
        <w:pStyle w:val="Heading2"/>
      </w:pPr>
      <w:r>
        <w:t xml:space="preserve">Departure transfer list</w:t>
      </w:r>
    </w:p>
    <w:p>
      <w:pPr>
        <w:pStyle w:val="FirstParagraph"/>
      </w:pPr>
      <w:r>
        <w:t xml:space="preserve">Transfer access (accounts, keys), clarify gear ownership, settle unpaid money, cover upcoming shows, and own public messaging. Make a dated checklist and complete it before the goodbye post — namely, transfer access (accounts, keys), clarify gear ownership, settle unpaid money, cover upcoming shows, and own public messaging. Make a dated checklist and complete it before the goodbye post.</w:t>
      </w:r>
    </w:p>
    <w:p>
      <w:pPr>
        <w:pStyle w:val="BodyText"/>
      </w:pPr>
      <w:r>
        <w:t xml:space="preserve">If intellectual property is unclear, pause releases until ownership is written. Ambiguity is expensive later; namely if intellectual property is unclear, pause releases until ownership is written. Ambiguity is expensive later.; hence if intellectual property is unclear, pause releases until ownership is written. Ambiguity is expensive later.</w:t>
      </w:r>
    </w:p>
    <w:bookmarkEnd w:id="10"/>
    <w:bookmarkStart w:id="11" w:name="one-narrative-clean-logistics"/>
    <w:p>
      <w:pPr>
        <w:pStyle w:val="Heading2"/>
      </w:pPr>
      <w:r>
        <w:t xml:space="preserve">One narrative, clean logistics</w:t>
      </w:r>
    </w:p>
    <w:p>
      <w:pPr>
        <w:pStyle w:val="FirstParagraph"/>
      </w:pPr>
      <w:r>
        <w:t xml:space="preserve">Agree on a short public story; Conflicting posts hurt everyone and confuse bookers; Internals stay internal. Write who plays and who is paid on future gigs before the next settlement — namely, agree on a short public story. Conflicting posts hurt everyone and confuse bookers. Internals stay internal. Write who plays and who is paid on future gigs before the next settlement.</w:t>
      </w:r>
    </w:p>
    <w:p>
      <w:pPr>
        <w:pStyle w:val="BodyText"/>
      </w:pPr>
      <w:r>
        <w:t xml:space="preserve">Join path mirrors exit path: new members need access granted, culture known, money rules stated, and a first-show plan — next, join path mirrors exit path: new members need access granted, culture known, money rules stated, and a first-show plan.</w:t>
      </w:r>
    </w:p>
    <w:bookmarkEnd w:id="11"/>
    <w:bookmarkStart w:id="12" w:name="protect-the-remaining-band"/>
    <w:p>
      <w:pPr>
        <w:pStyle w:val="Heading2"/>
      </w:pPr>
      <w:r>
        <w:t xml:space="preserve">Protect the remaining band</w:t>
      </w:r>
    </w:p>
    <w:p>
      <w:pPr>
        <w:pStyle w:val="FirstParagraph"/>
      </w:pPr>
      <w:r>
        <w:t xml:space="preserve">Debrief once, update calendars, and resist months of re-litigation; The goal is a working unit again, not a permanent trial about the past — namely, debrief once, update calendars, and resist months of re-litigation. The goal is a working unit again, not a permanent trial about the past.</w:t>
      </w:r>
    </w:p>
    <w:p>
      <w:pPr>
        <w:pStyle w:val="BodyText"/>
      </w:pPr>
      <w:r>
        <w:t xml:space="preserve">The goal is a working unit again, not a permanent trial about the past. Debrief once, update calendars, and resist months of re-litigation — next, the goal is a working unit again, not a permanent trial about the past. Debrief once, update calendars, and resist months of re-litigation.</w:t>
      </w:r>
    </w:p>
    <w:bookmarkEnd w:id="12"/>
    <w:bookmarkStart w:id="13" w:name="fill-in-transition-plan"/>
    <w:p>
      <w:pPr>
        <w:pStyle w:val="Heading2"/>
      </w:pPr>
      <w:r>
        <w:t xml:space="preserve">Fill-in: Transition plan</w:t>
      </w:r>
    </w:p>
    <w:p>
      <w:pPr>
        <w:pStyle w:val="FirstParagraph"/>
      </w:pPr>
      <w:r>
        <w:rPr>
          <w:b/>
          <w:bCs/>
        </w:rPr>
        <w:t xml:space="preserve">Leaving / joining: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Access transfer owner: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Gear inventory date: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Show coverage:</w:t>
      </w:r>
      <w:r>
        <w:t xml:space="preserve"> </w:t>
      </w:r>
      <w:r>
        <w:t xml:space="preserve">________</w:t>
      </w:r>
    </w:p>
    <w:p>
      <w:pPr>
        <w:pStyle w:val="BodyText"/>
      </w:pPr>
      <w:r>
        <w:rPr>
          <w:b/>
          <w:bCs/>
        </w:rPr>
        <w:t xml:space="preserve">Public message:</w:t>
      </w:r>
      <w:r>
        <w:t xml:space="preserve"> </w:t>
      </w:r>
      <w:r>
        <w:t xml:space="preserve">________</w:t>
      </w:r>
    </w:p>
    <w:bookmarkEnd w:id="13"/>
    <w:bookmarkStart w:id="15" w:name="putting-it-into-practice"/>
    <w:p>
      <w:pPr>
        <w:pStyle w:val="Heading2"/>
      </w:pPr>
      <w:r>
        <w:t xml:space="preserve">Putting it into practice</w:t>
      </w:r>
    </w:p>
    <w:p>
      <w:pPr>
        <w:pStyle w:val="FirstParagraph"/>
      </w:pPr>
      <w:r>
        <w:t xml:space="preserve">If a lineup change is active, freeze a written transition checklist today.</w:t>
      </w:r>
    </w:p>
    <w:p>
      <w:pPr>
        <w:pStyle w:val="BodyText"/>
      </w:pPr>
      <w:r>
        <w:t xml:space="preserve">Reopen this filled guide after lineup changes and before busy seasons. Keep profiles current so opportunities can convert, and use the</w:t>
      </w:r>
      <w:r>
        <w:t xml:space="preserve"> </w:t>
      </w:r>
      <w:hyperlink r:id="rId14">
        <w:r>
          <w:rPr>
            <w:rStyle w:val="Hyperlink"/>
          </w:rPr>
          <w:t xml:space="preserve">directory</w:t>
        </w:r>
      </w:hyperlink>
      <w:r>
        <w:t xml:space="preserve"> </w:t>
      </w:r>
      <w:r>
        <w:t xml:space="preserve">when the next step is finding people.</w:t>
      </w:r>
    </w:p>
    <w:bookmarkEnd w:id="15"/>
    <w:bookmarkStart w:id="16" w:name="a-thirty-day-implementation-sprint"/>
    <w:p>
      <w:pPr>
        <w:pStyle w:val="Heading2"/>
      </w:pPr>
      <w:r>
        <w:t xml:space="preserve">A thirty-day implementation sprint</w:t>
      </w:r>
    </w:p>
    <w:p>
      <w:pPr>
        <w:pStyle w:val="FirstParagraph"/>
      </w:pPr>
      <w:r>
        <w:rPr>
          <w:b/>
          <w:bCs/>
        </w:rPr>
        <w:t xml:space="preserve">Week one:</w:t>
      </w:r>
      <w:r>
        <w:t xml:space="preserve"> </w:t>
      </w:r>
      <w:r>
        <w:t xml:space="preserve">read alone and mark real disagreements.</w:t>
      </w:r>
      <w:r>
        <w:t xml:space="preserve"> </w:t>
      </w:r>
      <w:r>
        <w:rPr>
          <w:b/>
          <w:bCs/>
        </w:rPr>
        <w:t xml:space="preserve">Week two:</w:t>
      </w:r>
      <w:r>
        <w:t xml:space="preserve"> </w:t>
      </w:r>
      <w:r>
        <w:t xml:space="preserve">45-minute meeting—fill blanks, assign owners.</w:t>
      </w:r>
      <w:r>
        <w:t xml:space="preserve"> </w:t>
      </w:r>
      <w:r>
        <w:rPr>
          <w:b/>
          <w:bCs/>
        </w:rPr>
        <w:t xml:space="preserve">Week three:</w:t>
      </w:r>
      <w:r>
        <w:t xml:space="preserve"> </w:t>
      </w:r>
      <w:r>
        <w:t xml:space="preserve">use the rules on real rehearsals or outreach.</w:t>
      </w:r>
      <w:r>
        <w:t xml:space="preserve"> </w:t>
      </w:r>
      <w:r>
        <w:rPr>
          <w:b/>
          <w:bCs/>
        </w:rPr>
        <w:t xml:space="preserve">Week four:</w:t>
      </w:r>
      <w:r>
        <w:t xml:space="preserve"> </w:t>
      </w:r>
      <w:r>
        <w:t xml:space="preserve">amend one page and set the next quarterly revisit.</w:t>
      </w:r>
    </w:p>
    <w:bookmarkEnd w:id="16"/>
    <w:bookmarkStart w:id="21" w:name="faq"/>
    <w:p>
      <w:pPr>
        <w:pStyle w:val="Heading2"/>
      </w:pPr>
      <w:r>
        <w:t xml:space="preserve">FAQ</w:t>
      </w:r>
    </w:p>
    <w:bookmarkStart w:id="17" w:name="what-must-be-transferred-in-a-departure"/>
    <w:p>
      <w:pPr>
        <w:pStyle w:val="Heading3"/>
      </w:pPr>
      <w:r>
        <w:t xml:space="preserve">What must be transferred in a departure?</w:t>
      </w:r>
    </w:p>
    <w:p>
      <w:pPr>
        <w:pStyle w:val="FirstParagraph"/>
      </w:pPr>
      <w:r>
        <w:t xml:space="preserve">Access (accounts, keys), gear ownership, unpaid money, upcoming shows, and public messaging. Make a dated checklist.</w:t>
      </w:r>
    </w:p>
    <w:bookmarkEnd w:id="17"/>
    <w:bookmarkStart w:id="18" w:name="X86e3ddf93a7763f4aac87eab849895f542d58ab"/>
    <w:p>
      <w:pPr>
        <w:pStyle w:val="Heading3"/>
      </w:pPr>
      <w:r>
        <w:t xml:space="preserve">How public should the transition story be?</w:t>
      </w:r>
    </w:p>
    <w:p>
      <w:pPr>
        <w:pStyle w:val="FirstParagraph"/>
      </w:pPr>
      <w:r>
        <w:t xml:space="preserve">Agree on a short shared narrative. Conflicting posts hurt everyone and confuse bookers.</w:t>
      </w:r>
    </w:p>
    <w:bookmarkEnd w:id="18"/>
    <w:bookmarkStart w:id="19" w:name="X16963e4851f72b3f0f804132c7bd5edeb0ca4cc"/>
    <w:p>
      <w:pPr>
        <w:pStyle w:val="Heading3"/>
      </w:pPr>
      <w:r>
        <w:t xml:space="preserve">How do we handle deposits and future gigs?</w:t>
      </w:r>
    </w:p>
    <w:p>
      <w:pPr>
        <w:pStyle w:val="FirstParagraph"/>
      </w:pPr>
      <w:r>
        <w:t xml:space="preserve">Write who plays, who gets paid, and whether the leaving member is still on contracts. Ambiguity creates legal and social mess.</w:t>
      </w:r>
    </w:p>
    <w:bookmarkEnd w:id="19"/>
    <w:bookmarkStart w:id="20" w:name="what-about-intellectual-property"/>
    <w:p>
      <w:pPr>
        <w:pStyle w:val="Heading3"/>
      </w:pPr>
      <w:r>
        <w:t xml:space="preserve">What about intellectual property?</w:t>
      </w:r>
    </w:p>
    <w:p>
      <w:pPr>
        <w:pStyle w:val="FirstParagraph"/>
      </w:pPr>
      <w:r>
        <w:t xml:space="preserve">Reference your agreement: who owns songs and recordings. If unclear, pause releases until written.</w:t>
      </w:r>
    </w:p>
    <w:bookmarkEnd w:id="20"/>
    <w:bookmarkEnd w:id="21"/>
    <w:bookmarkStart w:id="27" w:name="related-guides"/>
    <w:p>
      <w:pPr>
        <w:pStyle w:val="Heading2"/>
      </w:pPr>
      <w:r>
        <w:t xml:space="preserve">Related guides</w:t>
      </w:r>
    </w:p>
    <w:p>
      <w:pPr>
        <w:pStyle w:val="Compact"/>
        <w:numPr>
          <w:ilvl w:val="0"/>
          <w:numId w:val="1001"/>
        </w:numPr>
      </w:pPr>
      <w:hyperlink r:id="rId22">
        <w:r>
          <w:rPr>
            <w:rStyle w:val="Hyperlink"/>
          </w:rPr>
          <w:t xml:space="preserve">Departure conversation</w:t>
        </w:r>
      </w:hyperlink>
    </w:p>
    <w:p>
      <w:pPr>
        <w:pStyle w:val="Compact"/>
        <w:numPr>
          <w:ilvl w:val="0"/>
          <w:numId w:val="1001"/>
        </w:numPr>
      </w:pPr>
      <w:hyperlink r:id="rId23">
        <w:r>
          <w:rPr>
            <w:rStyle w:val="Hyperlink"/>
          </w:rPr>
          <w:t xml:space="preserve">Band agreement</w:t>
        </w:r>
      </w:hyperlink>
    </w:p>
    <w:p>
      <w:pPr>
        <w:pStyle w:val="Compact"/>
        <w:numPr>
          <w:ilvl w:val="0"/>
          <w:numId w:val="1001"/>
        </w:numPr>
      </w:pPr>
      <w:hyperlink r:id="rId24">
        <w:r>
          <w:rPr>
            <w:rStyle w:val="Hyperlink"/>
          </w:rPr>
          <w:t xml:space="preserve">Financial agreement</w:t>
        </w:r>
      </w:hyperlink>
    </w:p>
    <w:p>
      <w:pPr>
        <w:pStyle w:val="Compact"/>
        <w:numPr>
          <w:ilvl w:val="0"/>
          <w:numId w:val="1001"/>
        </w:numPr>
      </w:pPr>
      <w:hyperlink r:id="rId25">
        <w:r>
          <w:rPr>
            <w:rStyle w:val="Hyperlink"/>
          </w:rPr>
          <w:t xml:space="preserve">Onboarding checklist</w:t>
        </w:r>
      </w:hyperlink>
    </w:p>
    <w:p>
      <w:pPr>
        <w:pStyle w:val="Compact"/>
        <w:numPr>
          <w:ilvl w:val="0"/>
          <w:numId w:val="1001"/>
        </w:numPr>
      </w:pPr>
      <w:hyperlink r:id="rId26">
        <w:r>
          <w:rPr>
            <w:rStyle w:val="Hyperlink"/>
          </w:rPr>
          <w:t xml:space="preserve">Music contract templates</w:t>
        </w:r>
      </w:hyperlink>
    </w:p>
    <w:bookmarkEnd w:id="27"/>
    <w:bookmarkEnd w:id="2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/academy/book-resources/band-agreement/" TargetMode="External" /><Relationship Type="http://schemas.openxmlformats.org/officeDocument/2006/relationships/hyperlink" Id="rId22" Target="/academy/book-resources/departure-conversation/" TargetMode="External" /><Relationship Type="http://schemas.openxmlformats.org/officeDocument/2006/relationships/hyperlink" Id="rId24" Target="/academy/book-resources/financial-agreement/" TargetMode="External" /><Relationship Type="http://schemas.openxmlformats.org/officeDocument/2006/relationships/hyperlink" Id="rId25" Target="/academy/book-resources/onboarding-checklist/" TargetMode="External" /><Relationship Type="http://schemas.openxmlformats.org/officeDocument/2006/relationships/hyperlink" Id="rId26" Target="/academy/resources/music-contract-templates/" TargetMode="External" /><Relationship Type="http://schemas.openxmlformats.org/officeDocument/2006/relationships/hyperlink" Id="rId14" Target="/directory/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/academy/book-resources/band-agreement/" TargetMode="External" /><Relationship Type="http://schemas.openxmlformats.org/officeDocument/2006/relationships/hyperlink" Id="rId22" Target="/academy/book-resources/departure-conversation/" TargetMode="External" /><Relationship Type="http://schemas.openxmlformats.org/officeDocument/2006/relationships/hyperlink" Id="rId24" Target="/academy/book-resources/financial-agreement/" TargetMode="External" /><Relationship Type="http://schemas.openxmlformats.org/officeDocument/2006/relationships/hyperlink" Id="rId25" Target="/academy/book-resources/onboarding-checklist/" TargetMode="External" /><Relationship Type="http://schemas.openxmlformats.org/officeDocument/2006/relationships/hyperlink" Id="rId26" Target="/academy/resources/music-contract-templates/" TargetMode="External" /><Relationship Type="http://schemas.openxmlformats.org/officeDocument/2006/relationships/hyperlink" Id="rId14" Target="/directory/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2026-07-27T17:58:47Z</dcterms:created>
  <dcterms:modified xsi:type="dcterms:W3CDTF">2026-07-27T17:58:47Z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