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time-wasting-assessment"/>
    <w:p>
      <w:pPr>
        <w:pStyle w:val="Heading1"/>
      </w:pPr>
      <w:r>
        <w:t xml:space="preserve">Time-Wasting Assessment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Time-Wasting Assessment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Assessment tool for identifying time-wasting activities.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Busy weeks without better shows mean something is eating hours. Measure the leaks before you add more nights.</w:t>
      </w:r>
    </w:p>
    <w:bookmarkEnd w:id="9"/>
    <w:bookmarkStart w:id="10" w:name="common-wastes"/>
    <w:p>
      <w:pPr>
        <w:pStyle w:val="Heading2"/>
      </w:pPr>
      <w:r>
        <w:t xml:space="preserve">Common wastes</w:t>
      </w:r>
    </w:p>
    <w:p>
      <w:pPr>
        <w:pStyle w:val="FirstParagraph"/>
      </w:pPr>
      <w:r>
        <w:t xml:space="preserve">Late starts, gear chaos, unfocused debates, phones, and re-litigating decided issues eat rent money. Name the top waste without turning it into a character assassination of one person if the system is shared — namely, late starts, gear chaos, unfocused debates, phones, and re-litigating decided issues eat rent money. Name the top waste without turning it into a character assassination of one person if the system is shared.</w:t>
      </w:r>
    </w:p>
    <w:p>
      <w:pPr>
        <w:pStyle w:val="BodyText"/>
      </w:pPr>
      <w:r>
        <w:t xml:space="preserve">If the same waste appears for a month, it is culture, not accident; namely if the same waste appears for a month, it is culture, not accident.; hence if the same waste appears for a month, it is culture, not accident.</w:t>
      </w:r>
    </w:p>
    <w:bookmarkEnd w:id="10"/>
    <w:bookmarkStart w:id="11" w:name="measure-two-weeks"/>
    <w:p>
      <w:pPr>
        <w:pStyle w:val="Heading2"/>
      </w:pPr>
      <w:r>
        <w:t xml:space="preserve">Measure two weeks</w:t>
      </w:r>
    </w:p>
    <w:p>
      <w:pPr>
        <w:pStyle w:val="FirstParagraph"/>
      </w:pPr>
      <w:r>
        <w:t xml:space="preserve">Track start delay, agenda completion rate, and decided-twice moments for two full weeks so patterns replace vibes in the room. Numbers make shared wastes visible without turning the conversation into a character trial of whoever was loudest last night. Reopen after one real week of use and amend once.</w:t>
      </w:r>
    </w:p>
    <w:p>
      <w:pPr>
        <w:pStyle w:val="BodyText"/>
      </w:pPr>
      <w:r>
        <w:t xml:space="preserve">Share the numbers once with the whole band, then pick one fix with an owner and a recheck date. Shame is not the point; change is. If the same waste still shows after the fix, the rule was optional or the metric was wrong.</w:t>
      </w:r>
    </w:p>
    <w:bookmarkEnd w:id="11"/>
    <w:bookmarkStart w:id="12" w:name="fixes-that-work"/>
    <w:p>
      <w:pPr>
        <w:pStyle w:val="Heading2"/>
      </w:pPr>
      <w:r>
        <w:t xml:space="preserve">Fixes that work</w:t>
      </w:r>
    </w:p>
    <w:p>
      <w:pPr>
        <w:pStyle w:val="FirstParagraph"/>
      </w:pPr>
      <w:r>
        <w:t xml:space="preserve">Call times with consequences, written agendas, time boxes, and prep standards; Schedule social time after work blocks so bonding does not stealth-replace rehearsal — namely, call times with consequences, written agendas, time boxes, and prep standards. Schedule social time after work blocks so bonding does not stealth-replace rehearsal.</w:t>
      </w:r>
    </w:p>
    <w:p>
      <w:pPr>
        <w:pStyle w:val="BodyText"/>
      </w:pPr>
      <w:r>
        <w:t xml:space="preserve">Schedule social time after work blocks so bonding does not stealth-replace rehearsal; Call times with consequences, written agendas, time boxes, and prep standards — next, schedule social time after work blocks so bonding does not stealth-replace rehearsal. Call times with consequences, written agendas, time boxes, and prep standards.</w:t>
      </w:r>
    </w:p>
    <w:bookmarkEnd w:id="12"/>
    <w:bookmarkStart w:id="13" w:name="fill-in-waste-findings"/>
    <w:p>
      <w:pPr>
        <w:pStyle w:val="Heading2"/>
      </w:pPr>
      <w:r>
        <w:t xml:space="preserve">Fill-in: Waste findings</w:t>
      </w:r>
    </w:p>
    <w:p>
      <w:pPr>
        <w:pStyle w:val="FirstParagraph"/>
      </w:pPr>
      <w:r>
        <w:rPr>
          <w:b/>
          <w:bCs/>
        </w:rPr>
        <w:t xml:space="preserve">Top waste: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Metric: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Fix: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Owner: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Track start delay for two weeks and publish the number.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what-are-common-band-time-wastes"/>
    <w:p>
      <w:pPr>
        <w:pStyle w:val="Heading3"/>
      </w:pPr>
      <w:r>
        <w:t xml:space="preserve">What are common band time wastes?</w:t>
      </w:r>
    </w:p>
    <w:p>
      <w:pPr>
        <w:pStyle w:val="FirstParagraph"/>
      </w:pPr>
      <w:r>
        <w:t xml:space="preserve">Late starts, gear chaos, unfocused debates, phone scrolling, and re-litigating decided issues.</w:t>
      </w:r>
    </w:p>
    <w:bookmarkEnd w:id="17"/>
    <w:bookmarkStart w:id="18" w:name="Xb1a796d77d60b6a8f32c98d52446dd45259e826"/>
    <w:p>
      <w:pPr>
        <w:pStyle w:val="Heading3"/>
      </w:pPr>
      <w:r>
        <w:t xml:space="preserve">How do we measure waste without stopwatches?</w:t>
      </w:r>
    </w:p>
    <w:p>
      <w:pPr>
        <w:pStyle w:val="FirstParagraph"/>
      </w:pPr>
      <w:r>
        <w:t xml:space="preserve">Track start delay, agenda completion rate, and “decided twice” moments for two weeks. Patterns appear quickly.</w:t>
      </w:r>
    </w:p>
    <w:bookmarkEnd w:id="18"/>
    <w:bookmarkStart w:id="19" w:name="what-fixes-work-fastest"/>
    <w:p>
      <w:pPr>
        <w:pStyle w:val="Heading3"/>
      </w:pPr>
      <w:r>
        <w:t xml:space="preserve">What fixes work fastest?</w:t>
      </w:r>
    </w:p>
    <w:p>
      <w:pPr>
        <w:pStyle w:val="FirstParagraph"/>
      </w:pPr>
      <w:r>
        <w:t xml:space="preserve">Call times with consequences, written agendas, time boxes, and prep standards. Culture follows clocks.</w:t>
      </w:r>
    </w:p>
    <w:bookmarkEnd w:id="19"/>
    <w:bookmarkStart w:id="20" w:name="can-social-time-be-scheduled"/>
    <w:p>
      <w:pPr>
        <w:pStyle w:val="Heading3"/>
      </w:pPr>
      <w:r>
        <w:t xml:space="preserve">Can social time be scheduled?</w:t>
      </w:r>
    </w:p>
    <w:p>
      <w:pPr>
        <w:pStyle w:val="FirstParagraph"/>
      </w:pPr>
      <w:r>
        <w:t xml:space="preserve">Yes—deliberately after work blocks. Bonding matters; it should not stealth-replace rehearsal.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Time boxing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Attendance expectations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Preparation accountability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Rehearsal evaluation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/academy/book-resources/attendance-expectations/" TargetMode="External" /><Relationship Type="http://schemas.openxmlformats.org/officeDocument/2006/relationships/hyperlink" Id="rId24" Target="/academy/book-resources/preparation-accountability/" TargetMode="External" /><Relationship Type="http://schemas.openxmlformats.org/officeDocument/2006/relationships/hyperlink" Id="rId25" Target="/academy/book-resources/rehearsal-evaluation/" TargetMode="External" /><Relationship Type="http://schemas.openxmlformats.org/officeDocument/2006/relationships/hyperlink" Id="rId22" Target="/academy/book-resources/time-boxing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/academy/book-resources/attendance-expectations/" TargetMode="External" /><Relationship Type="http://schemas.openxmlformats.org/officeDocument/2006/relationships/hyperlink" Id="rId24" Target="/academy/book-resources/preparation-accountability/" TargetMode="External" /><Relationship Type="http://schemas.openxmlformats.org/officeDocument/2006/relationships/hyperlink" Id="rId25" Target="/academy/book-resources/rehearsal-evaluation/" TargetMode="External" /><Relationship Type="http://schemas.openxmlformats.org/officeDocument/2006/relationships/hyperlink" Id="rId22" Target="/academy/book-resources/time-boxing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2026-07-27T18:00:05Z</dcterms:created>
  <dcterms:modified xsi:type="dcterms:W3CDTF">2026-07-27T18:00:05Z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