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resolvability-assessment-tool"/>
    <w:p>
      <w:pPr>
        <w:pStyle w:val="Heading1"/>
      </w:pPr>
      <w:r>
        <w:t xml:space="preserve">Resolvability Assessment Tool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Resolvability Assessment Tool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Tool for assessing whether conflicts are resolvable.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Not every conflict should get another workshop. Assess whether repair is realistic before you spend another month in the same loop.</w:t>
      </w:r>
    </w:p>
    <w:bookmarkEnd w:id="9"/>
    <w:bookmarkStart w:id="10" w:name="resolvable-signals"/>
    <w:p>
      <w:pPr>
        <w:pStyle w:val="Heading2"/>
      </w:pPr>
      <w:r>
        <w:t xml:space="preserve">Resolvable signals</w:t>
      </w:r>
    </w:p>
    <w:p>
      <w:pPr>
        <w:pStyle w:val="FirstParagraph"/>
      </w:pPr>
      <w:r>
        <w:t xml:space="preserve">Shared interest in continuing, willingness to change behavior, and a concrete agreement path are the basics. Without those, more conversation often creates better stories, not better outcomes — namely, shared interest in continuing, willingness to change behavior, and a concrete agreement path are the basics. Without those, more conversation often creates better stories, not better outcomes.</w:t>
      </w:r>
    </w:p>
    <w:p>
      <w:pPr>
        <w:pStyle w:val="BodyText"/>
      </w:pPr>
      <w:r>
        <w:t xml:space="preserve">If both parties can name a two-week experiment they will actually try, you may still have a path; namely if both parties can name a two-week experiment they will actually try, you may still have a path.; hence if both parties can name a two-week experiment they will actually try, you may still have a path.</w:t>
      </w:r>
    </w:p>
    <w:bookmarkEnd w:id="10"/>
    <w:bookmarkStart w:id="11" w:name="unresolvable-soon"/>
    <w:p>
      <w:pPr>
        <w:pStyle w:val="Heading2"/>
      </w:pPr>
      <w:r>
        <w:t xml:space="preserve">Unresolvable soon</w:t>
      </w:r>
    </w:p>
    <w:p>
      <w:pPr>
        <w:pStyle w:val="FirstParagraph"/>
      </w:pPr>
      <w:r>
        <w:t xml:space="preserve">Contempt, safety issues, or total denial of impact usually need boundaries or exits, not more clever facilitation. Protect people first — namely, contempt, safety issues, or total denial of impact usually need boundaries or exits, not more clever facilitation. Protect people first.</w:t>
      </w:r>
    </w:p>
    <w:p>
      <w:pPr>
        <w:pStyle w:val="BodyText"/>
      </w:pPr>
      <w:r>
        <w:t xml:space="preserve">A stop date prevents “processing” from becoming a lifestyle that freezes the music; namely a stop date prevents “processing” from becoming a lifestyle that freezes the music.; hence a stop date prevents “processing” from becoming a lifestyle that freezes the music.</w:t>
      </w:r>
    </w:p>
    <w:bookmarkEnd w:id="11"/>
    <w:bookmarkStart w:id="12" w:name="who-decides"/>
    <w:p>
      <w:pPr>
        <w:pStyle w:val="Heading2"/>
      </w:pPr>
      <w:r>
        <w:t xml:space="preserve">Who decides</w:t>
      </w:r>
    </w:p>
    <w:p>
      <w:pPr>
        <w:pStyle w:val="FirstParagraph"/>
      </w:pPr>
      <w:r>
        <w:t xml:space="preserve">People affected—and any mediator—decide resolvability, not only the loudest storyteller; Write the assessment so the band is not held hostage by rewrites of history — namely, people affected—and any mediator—decide resolvability, not only the loudest storyteller. Write the assessment so the band is not held hostage by rewrites of history.</w:t>
      </w:r>
    </w:p>
    <w:p>
      <w:pPr>
        <w:pStyle w:val="BodyText"/>
      </w:pPr>
      <w:r>
        <w:t xml:space="preserve">Write the assessment so the band is not held hostage by rewrites of history. People affected—and any mediator—decide resolvability, not only the loudest storyteller — next, write the assessment so the band is not held hostage by rewrites of history. People affected—and any mediator—decide resolvability, not only the loudest storyteller.</w:t>
      </w:r>
    </w:p>
    <w:bookmarkEnd w:id="12"/>
    <w:bookmarkStart w:id="13" w:name="fill-in-resolvability-check"/>
    <w:p>
      <w:pPr>
        <w:pStyle w:val="Heading2"/>
      </w:pPr>
      <w:r>
        <w:t xml:space="preserve">Fill-in: Resolvability check</w:t>
      </w:r>
    </w:p>
    <w:p>
      <w:pPr>
        <w:pStyle w:val="FirstParagraph"/>
      </w:pPr>
      <w:r>
        <w:rPr>
          <w:b/>
          <w:bCs/>
        </w:rPr>
        <w:t xml:space="preserve">Shared interest?: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Ownership present?: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Experiment: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Stop date: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If you are looping the same fight, run this assessment once and honor the stop date.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at-makes-a-conflict-resolvable"/>
    <w:p>
      <w:pPr>
        <w:pStyle w:val="Heading3"/>
      </w:pPr>
      <w:r>
        <w:t xml:space="preserve">What makes a conflict resolvable?</w:t>
      </w:r>
    </w:p>
    <w:p>
      <w:pPr>
        <w:pStyle w:val="FirstParagraph"/>
      </w:pPr>
      <w:r>
        <w:t xml:space="preserve">Shared interest in continuing, willingness to change behavior, and a concrete agreement path.</w:t>
      </w:r>
    </w:p>
    <w:bookmarkEnd w:id="17"/>
    <w:bookmarkStart w:id="18" w:name="what-makes-it-unresolvable-soon"/>
    <w:p>
      <w:pPr>
        <w:pStyle w:val="Heading3"/>
      </w:pPr>
      <w:r>
        <w:t xml:space="preserve">What makes it unresolvable soon?</w:t>
      </w:r>
    </w:p>
    <w:p>
      <w:pPr>
        <w:pStyle w:val="FirstParagraph"/>
      </w:pPr>
      <w:r>
        <w:t xml:space="preserve">Contempt, safety issues, or total denial of impact. Those need boundaries or exits, not more workshops.</w:t>
      </w:r>
    </w:p>
    <w:bookmarkEnd w:id="18"/>
    <w:bookmarkStart w:id="19" w:name="how-long-should-we-try"/>
    <w:p>
      <w:pPr>
        <w:pStyle w:val="Heading3"/>
      </w:pPr>
      <w:r>
        <w:t xml:space="preserve">How long should we try?</w:t>
      </w:r>
    </w:p>
    <w:p>
      <w:pPr>
        <w:pStyle w:val="FirstParagraph"/>
      </w:pPr>
      <w:r>
        <w:t xml:space="preserve">Set a time-bound repair plan with check-ins. Endless “processing” without behavior change is a holding pattern.</w:t>
      </w:r>
    </w:p>
    <w:bookmarkEnd w:id="19"/>
    <w:bookmarkStart w:id="20" w:name="who-decides-resolvability"/>
    <w:p>
      <w:pPr>
        <w:pStyle w:val="Heading3"/>
      </w:pPr>
      <w:r>
        <w:t xml:space="preserve">Who decides resolvability?</w:t>
      </w:r>
    </w:p>
    <w:p>
      <w:pPr>
        <w:pStyle w:val="FirstParagraph"/>
      </w:pPr>
      <w:r>
        <w:t xml:space="preserve">People affected plus any mediator—not only the loudest storyteller.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Conflict resolution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Conflict mediation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Departure conversation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relationships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/academy/book-resources/conflict-mediation/" TargetMode="External" /><Relationship Type="http://schemas.openxmlformats.org/officeDocument/2006/relationships/hyperlink" Id="rId22" Target="/academy/book-resources/conflict-resolution/" TargetMode="External" /><Relationship Type="http://schemas.openxmlformats.org/officeDocument/2006/relationships/hyperlink" Id="rId24" Target="/academy/book-resources/departure-conversation/" TargetMode="External" /><Relationship Type="http://schemas.openxmlformats.org/officeDocument/2006/relationships/hyperlink" Id="rId25" Target="/academy/topics/band-relationship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academy/book-resources/conflict-mediation/" TargetMode="External" /><Relationship Type="http://schemas.openxmlformats.org/officeDocument/2006/relationships/hyperlink" Id="rId22" Target="/academy/book-resources/conflict-resolution/" TargetMode="External" /><Relationship Type="http://schemas.openxmlformats.org/officeDocument/2006/relationships/hyperlink" Id="rId24" Target="/academy/book-resources/departure-conversation/" TargetMode="External" /><Relationship Type="http://schemas.openxmlformats.org/officeDocument/2006/relationships/hyperlink" Id="rId25" Target="/academy/topics/band-relationship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