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reference-check-questions"/>
    <w:p>
      <w:pPr>
        <w:pStyle w:val="Heading1"/>
      </w:pPr>
      <w:r>
        <w:t xml:space="preserve">Reference Check Questions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Reference Check Questions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Questions to ask when checking references.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Good reference questions invite specifics. Bad ones invite empty compliments. Use a consistent bank so every candidate faces the same standard.</w:t>
      </w:r>
    </w:p>
    <w:bookmarkEnd w:id="9"/>
    <w:bookmarkStart w:id="10" w:name="core-questions-that-work"/>
    <w:p>
      <w:pPr>
        <w:pStyle w:val="Heading2"/>
      </w:pPr>
      <w:r>
        <w:t xml:space="preserve">Core questions that work</w:t>
      </w:r>
    </w:p>
    <w:p>
      <w:pPr>
        <w:pStyle w:val="FirstParagraph"/>
      </w:pPr>
      <w:r>
        <w:t xml:space="preserve">How did you work together, and for how long?; How reliable were they on call times and prep? How did they handle conflict or feedback?; Would you share a stage with them again, and why? What is one growth edge you saw?</w:t>
      </w:r>
    </w:p>
    <w:p>
      <w:pPr>
        <w:pStyle w:val="BodyText"/>
      </w:pPr>
      <w:r>
        <w:t xml:space="preserve">Keep the list short enough to finish in ten minutes. Long interrogations produce less honesty, not more; namely keep the list short enough to finish in ten minutes. Long interrogations produce less honesty, not more.; hence keep the list short enough to finish in ten minutes. Long interrogations produce less honesty, not more.</w:t>
      </w:r>
    </w:p>
    <w:bookmarkEnd w:id="10"/>
    <w:bookmarkStart w:id="11" w:name="listen-under-the-words"/>
    <w:p>
      <w:pPr>
        <w:pStyle w:val="Heading2"/>
      </w:pPr>
      <w:r>
        <w:t xml:space="preserve">Listen under the words</w:t>
      </w:r>
    </w:p>
    <w:p>
      <w:pPr>
        <w:pStyle w:val="FirstParagraph"/>
      </w:pPr>
      <w:r>
        <w:t xml:space="preserve">Hesitations, careful phrasing, and “it depends” stories often matter more than superlatives; Stay job-related. Avoid gossip fishing that turns you into a rumor engine — namely, hesitations, careful phrasing, and “it depends” stories often matter more than superlatives. Stay job-related. Avoid gossip fishing that turns you into a rumor engine.</w:t>
      </w:r>
    </w:p>
    <w:p>
      <w:pPr>
        <w:pStyle w:val="BodyText"/>
      </w:pPr>
      <w:r>
        <w:t xml:space="preserve">If answers are only vaguely positive, probe once for a concrete stress story. If still empty, weight that carefully against what you saw in the room — next, if answers are only vaguely positive, probe once for a concrete stress story. If still empty, weight that carefully against what you saw in the room.</w:t>
      </w:r>
    </w:p>
    <w:bookmarkEnd w:id="11"/>
    <w:bookmarkStart w:id="12" w:name="ethics-and-follow-through"/>
    <w:p>
      <w:pPr>
        <w:pStyle w:val="Heading2"/>
      </w:pPr>
      <w:r>
        <w:t xml:space="preserve">Ethics and follow-through</w:t>
      </w:r>
    </w:p>
    <w:p>
      <w:pPr>
        <w:pStyle w:val="FirstParagraph"/>
      </w:pPr>
      <w:r>
        <w:t xml:space="preserve">Document dated notes in a private leadership file—not a public channel; If something serious arises, verify and use a fair candidate conversation rather than scene heat without process — namely, document dated notes in a private leadership file—not a public channel. If something serious arises, verify and use a fair candidate conversation rather than scene heat without process.</w:t>
      </w:r>
    </w:p>
    <w:p>
      <w:pPr>
        <w:pStyle w:val="BodyText"/>
      </w:pPr>
      <w:r>
        <w:t xml:space="preserve">If something serious arises, verify and use a fair candidate conversation rather than scene heat without process. Document dated notes in a private leadership file—not a public channel — next, if something serious arises, verify and use a fair candidate conversation rather than scene heat without process. Document dated notes in a private leadership file—not a public channel.</w:t>
      </w:r>
    </w:p>
    <w:bookmarkEnd w:id="12"/>
    <w:bookmarkStart w:id="13" w:name="fill-in-question-set-we-will-use"/>
    <w:p>
      <w:pPr>
        <w:pStyle w:val="Heading2"/>
      </w:pPr>
      <w:r>
        <w:t xml:space="preserve">Fill-in: Question set we will use</w:t>
      </w:r>
    </w:p>
    <w:p>
      <w:pPr>
        <w:pStyle w:val="FirstParagraph"/>
      </w:pPr>
      <w:r>
        <w:rPr>
          <w:b/>
          <w:bCs/>
        </w:rPr>
        <w:t xml:space="preserve">Q1: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Q2: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Q3: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Q4: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Use the same four questions for every reference call this hiring cycle.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how-many-references-are-enough"/>
    <w:p>
      <w:pPr>
        <w:pStyle w:val="Heading3"/>
      </w:pPr>
      <w:r>
        <w:t xml:space="preserve">How many references are enough?</w:t>
      </w:r>
    </w:p>
    <w:p>
      <w:pPr>
        <w:pStyle w:val="FirstParagraph"/>
      </w:pPr>
      <w:r>
        <w:t xml:space="preserve">Two solid, recent music collaborators beat five vague friends. Prioritize people who shared stages or rehearsals.</w:t>
      </w:r>
    </w:p>
    <w:bookmarkEnd w:id="17"/>
    <w:bookmarkStart w:id="18" w:name="X71cd597506a747ce22277b3552dea85ae9f50d7"/>
    <w:p>
      <w:pPr>
        <w:pStyle w:val="Heading3"/>
      </w:pPr>
      <w:r>
        <w:t xml:space="preserve">What if a reference is vague or only positive?</w:t>
      </w:r>
    </w:p>
    <w:p>
      <w:pPr>
        <w:pStyle w:val="FirstParagraph"/>
      </w:pPr>
      <w:r>
        <w:t xml:space="preserve">Ask for a specific growth area and a reliability story. Pure praise without detail is often polite avoidance.</w:t>
      </w:r>
    </w:p>
    <w:bookmarkEnd w:id="18"/>
    <w:bookmarkStart w:id="19" w:name="Xd688b171f3a5ad1804d0d7994bf899c9a87473f"/>
    <w:p>
      <w:pPr>
        <w:pStyle w:val="Heading3"/>
      </w:pPr>
      <w:r>
        <w:t xml:space="preserve">Should we contact references the candidate did not list?</w:t>
      </w:r>
    </w:p>
    <w:p>
      <w:pPr>
        <w:pStyle w:val="FirstParagraph"/>
      </w:pPr>
      <w:r>
        <w:t xml:space="preserve">Be careful with scene politics and consent. If public performance history raises questions, address the candidate first.</w:t>
      </w:r>
    </w:p>
    <w:bookmarkEnd w:id="19"/>
    <w:bookmarkStart w:id="20" w:name="X87fe3dd26798293596e670d0d4a41df5c9254b4"/>
    <w:p>
      <w:pPr>
        <w:pStyle w:val="Heading3"/>
      </w:pPr>
      <w:r>
        <w:t xml:space="preserve">How do we weigh a bad reference against a great audition?</w:t>
      </w:r>
    </w:p>
    <w:p>
      <w:pPr>
        <w:pStyle w:val="FirstParagraph"/>
      </w:pPr>
      <w:r>
        <w:t xml:space="preserve">Auditions show best behavior. Reliability stories under stress often matter more for multi-month projects.</w:t>
      </w:r>
    </w:p>
    <w:bookmarkEnd w:id="20"/>
    <w:bookmarkEnd w:id="21"/>
    <w:bookmarkStart w:id="25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Reference check template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Addressing concerns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Find band members</w:t>
        </w:r>
      </w:hyperlink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find-band-members/" TargetMode="External" /><Relationship Type="http://schemas.openxmlformats.org/officeDocument/2006/relationships/hyperlink" Id="rId23" Target="/academy/book-resources/addressing-concerns/" TargetMode="External" /><Relationship Type="http://schemas.openxmlformats.org/officeDocument/2006/relationships/hyperlink" Id="rId22" Target="/academy/book-resources/reference-check-template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find-band-members/" TargetMode="External" /><Relationship Type="http://schemas.openxmlformats.org/officeDocument/2006/relationships/hyperlink" Id="rId23" Target="/academy/book-resources/addressing-concerns/" TargetMode="External" /><Relationship Type="http://schemas.openxmlformats.org/officeDocument/2006/relationships/hyperlink" Id="rId22" Target="/academy/book-resources/reference-check-template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