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preparation-accountability-system"/>
    <w:p>
      <w:pPr>
        <w:pStyle w:val="Heading1"/>
      </w:pPr>
      <w:r>
        <w:t xml:space="preserve">Preparation Accountability System</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Preparation Accountability System</w:t>
      </w:r>
      <w:r>
        <w:t xml:space="preserve">. Read it with your band, customize fill-in moments, and treat the DOCX as the working copy you mark up together.</w:t>
      </w:r>
    </w:p>
    <w:p>
      <w:pPr>
        <w:pStyle w:val="BodyText"/>
      </w:pPr>
      <w:r>
        <w:t xml:space="preserve">System for ensuring rehearsal preparation.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When people arrive unrehearsed, the room becomes a paid practice for one person’s homework. Prep standards protect everyone else’s time and money.</w:t>
      </w:r>
    </w:p>
    <w:bookmarkEnd w:id="9"/>
    <w:bookmarkStart w:id="10" w:name="define-prepared"/>
    <w:p>
      <w:pPr>
        <w:pStyle w:val="Heading2"/>
      </w:pPr>
      <w:r>
        <w:t xml:space="preserve">Define prepared</w:t>
      </w:r>
    </w:p>
    <w:p>
      <w:pPr>
        <w:pStyle w:val="FirstParagraph"/>
      </w:pPr>
      <w:r>
        <w:t xml:space="preserve">Charts learned, tempos solid, gear working, files downloaded—write the definition; Vague prep standards create fights because everyone thought they were fine. Publish the standard in the calendar invite so surprise is impossible — namely, charts learned, tempos solid, gear working, files downloaded—write the definition. Vague prep standards create fights because everyone thought they were fine. Publish the standard in the calendar invite so surprise is impossible.</w:t>
      </w:r>
    </w:p>
    <w:p>
      <w:pPr>
        <w:pStyle w:val="BodyText"/>
      </w:pPr>
      <w:r>
        <w:t xml:space="preserve">Check lightly at start. Chronic under-prep becomes a membership issue, not a running joke; namely check lightly at start. Chronic under-prep becomes a membership issue, not a running joke.; hence check lightly at start. Chronic under-prep becomes a membership issue, not a running joke.</w:t>
      </w:r>
    </w:p>
    <w:bookmarkEnd w:id="10"/>
    <w:bookmarkStart w:id="11" w:name="remote-members-and-proof"/>
    <w:p>
      <w:pPr>
        <w:pStyle w:val="Heading2"/>
      </w:pPr>
      <w:r>
        <w:t xml:space="preserve">Remote members and proof</w:t>
      </w:r>
    </w:p>
    <w:p>
      <w:pPr>
        <w:pStyle w:val="FirstParagraph"/>
      </w:pPr>
      <w:r>
        <w:t xml:space="preserve">Shared demos or short videos before full-band day make prep visible without shame theater. Trust but verify when patterns slip; The goal is readiness, not surveillance — namely, shared demos or short videos before full-band day make prep visible without shame theater. Trust but verify when patterns slip. The goal is readiness, not surveillance.</w:t>
      </w:r>
    </w:p>
    <w:p>
      <w:pPr>
        <w:pStyle w:val="BodyText"/>
      </w:pPr>
      <w:r>
        <w:t xml:space="preserve">The goal is readiness, not surveillance; Trust but verify when patterns slip; Shared demos or short videos before full-band day make prep visible without shame theater — next, the goal is readiness, not surveillance. Trust but verify when patterns slip. Shared demos or short videos before full-band day make prep visible without shame theater.</w:t>
      </w:r>
    </w:p>
    <w:bookmarkEnd w:id="11"/>
    <w:bookmarkStart w:id="12" w:name="consequences-that-teach"/>
    <w:p>
      <w:pPr>
        <w:pStyle w:val="Heading2"/>
      </w:pPr>
      <w:r>
        <w:t xml:space="preserve">Consequences that teach</w:t>
      </w:r>
    </w:p>
    <w:p>
      <w:pPr>
        <w:pStyle w:val="FirstParagraph"/>
      </w:pPr>
      <w:r>
        <w:t xml:space="preserve">Convert the session type, skip unprepared sections, or—after patterns—use progressive responses similar to attendance. Paying for waste trains waste; Reliable members should not permanently subsidize chaos — namely, convert the session type, skip unprepared sections, or—after patterns—use progressive responses similar to attendance. Paying for waste trains waste. Reliable members should not permanently subsidize chaos.</w:t>
      </w:r>
    </w:p>
    <w:p>
      <w:pPr>
        <w:pStyle w:val="BodyText"/>
      </w:pPr>
      <w:r>
        <w:t xml:space="preserve">Reliable members should not permanently subsidize chaos; Paying for waste trains waste; Convert the session type, skip unprepared sections, or—after patterns—use progressive responses similar to attendance — next, reliable members should not permanently subsidize chaos. Paying for waste trains waste. Convert the session type, skip unprepared sections, or—after patterns—use progressive responses similar to attendance.</w:t>
      </w:r>
    </w:p>
    <w:bookmarkEnd w:id="12"/>
    <w:bookmarkStart w:id="13" w:name="fill-in-prep-standard"/>
    <w:p>
      <w:pPr>
        <w:pStyle w:val="Heading2"/>
      </w:pPr>
      <w:r>
        <w:t xml:space="preserve">Fill-in: Prep standard</w:t>
      </w:r>
    </w:p>
    <w:p>
      <w:pPr>
        <w:pStyle w:val="FirstParagraph"/>
      </w:pPr>
      <w:r>
        <w:rPr>
          <w:b/>
          <w:bCs/>
        </w:rPr>
        <w:t xml:space="preserve">Prepared means:</w:t>
      </w:r>
      <w:r>
        <w:t xml:space="preserve"> </w:t>
      </w:r>
      <w:r>
        <w:t xml:space="preserve">________</w:t>
      </w:r>
    </w:p>
    <w:p>
      <w:pPr>
        <w:pStyle w:val="BodyText"/>
      </w:pPr>
      <w:r>
        <w:rPr>
          <w:b/>
          <w:bCs/>
        </w:rPr>
        <w:t xml:space="preserve">Check method:</w:t>
      </w:r>
      <w:r>
        <w:t xml:space="preserve"> </w:t>
      </w:r>
      <w:r>
        <w:t xml:space="preserve">________</w:t>
      </w:r>
    </w:p>
    <w:p>
      <w:pPr>
        <w:pStyle w:val="BodyText"/>
      </w:pPr>
      <w:r>
        <w:rPr>
          <w:b/>
          <w:bCs/>
        </w:rPr>
        <w:t xml:space="preserve">First response to miss:</w:t>
      </w:r>
      <w:r>
        <w:t xml:space="preserve"> </w:t>
      </w:r>
      <w:r>
        <w:t xml:space="preserve">________</w:t>
      </w:r>
    </w:p>
    <w:p>
      <w:pPr>
        <w:pStyle w:val="BodyText"/>
      </w:pPr>
      <w:r>
        <w:rPr>
          <w:b/>
          <w:bCs/>
        </w:rPr>
        <w:t xml:space="preserve">Pattern response:</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Write the prep standard and put it in the next calendar invite.</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what-does-prepared-mean-for-our-band"/>
    <w:p>
      <w:pPr>
        <w:pStyle w:val="Heading3"/>
      </w:pPr>
      <w:r>
        <w:t xml:space="preserve">What does “prepared” mean for our band?</w:t>
      </w:r>
    </w:p>
    <w:p>
      <w:pPr>
        <w:pStyle w:val="FirstParagraph"/>
      </w:pPr>
      <w:r>
        <w:t xml:space="preserve">Define it: charts learned, tempos solid, gear working, files downloaded. Vague prep standards create fights.</w:t>
      </w:r>
    </w:p>
    <w:bookmarkEnd w:id="17"/>
    <w:bookmarkStart w:id="18" w:name="how-do-we-enforce-prep-without-bullying"/>
    <w:p>
      <w:pPr>
        <w:pStyle w:val="Heading3"/>
      </w:pPr>
      <w:r>
        <w:t xml:space="preserve">How do we enforce prep without bullying?</w:t>
      </w:r>
    </w:p>
    <w:p>
      <w:pPr>
        <w:pStyle w:val="FirstParagraph"/>
      </w:pPr>
      <w:r>
        <w:t xml:space="preserve">Publish expectations, check lightly at start, and protect the group’s time. Chronic under-prep becomes a membership issue.</w:t>
      </w:r>
    </w:p>
    <w:bookmarkEnd w:id="18"/>
    <w:bookmarkStart w:id="19" w:name="should-we-cancel-rehearsal-if-unprepared"/>
    <w:p>
      <w:pPr>
        <w:pStyle w:val="Heading3"/>
      </w:pPr>
      <w:r>
        <w:t xml:space="preserve">Should we cancel rehearsal if unprepared?</w:t>
      </w:r>
    </w:p>
    <w:p>
      <w:pPr>
        <w:pStyle w:val="FirstParagraph"/>
      </w:pPr>
      <w:r>
        <w:t xml:space="preserve">Sometimes yes—for the unprepared person’s sections—or convert to a type that does not need them. Paying for waste trains waste.</w:t>
      </w:r>
    </w:p>
    <w:bookmarkEnd w:id="19"/>
    <w:bookmarkStart w:id="20" w:name="how-do-remote-members-prove-prep"/>
    <w:p>
      <w:pPr>
        <w:pStyle w:val="Heading3"/>
      </w:pPr>
      <w:r>
        <w:t xml:space="preserve">How do remote members prove prep?</w:t>
      </w:r>
    </w:p>
    <w:p>
      <w:pPr>
        <w:pStyle w:val="FirstParagraph"/>
      </w:pPr>
      <w:r>
        <w:t xml:space="preserve">Shared demos or video before the full-band day. Trust but verify when patterns slip.</w:t>
      </w:r>
    </w:p>
    <w:bookmarkEnd w:id="20"/>
    <w:bookmarkEnd w:id="21"/>
    <w:bookmarkStart w:id="26" w:name="related-guides"/>
    <w:p>
      <w:pPr>
        <w:pStyle w:val="Heading2"/>
      </w:pPr>
      <w:r>
        <w:t xml:space="preserve">Related guides</w:t>
      </w:r>
    </w:p>
    <w:p>
      <w:pPr>
        <w:pStyle w:val="Compact"/>
        <w:numPr>
          <w:ilvl w:val="0"/>
          <w:numId w:val="1001"/>
        </w:numPr>
      </w:pPr>
      <w:hyperlink r:id="rId22">
        <w:r>
          <w:rPr>
            <w:rStyle w:val="Hyperlink"/>
          </w:rPr>
          <w:t xml:space="preserve">Attendance expectations</w:t>
        </w:r>
      </w:hyperlink>
    </w:p>
    <w:p>
      <w:pPr>
        <w:pStyle w:val="Compact"/>
        <w:numPr>
          <w:ilvl w:val="0"/>
          <w:numId w:val="1001"/>
        </w:numPr>
      </w:pPr>
      <w:hyperlink r:id="rId23">
        <w:r>
          <w:rPr>
            <w:rStyle w:val="Hyperlink"/>
          </w:rPr>
          <w:t xml:space="preserve">Rehearsal agenda</w:t>
        </w:r>
      </w:hyperlink>
    </w:p>
    <w:p>
      <w:pPr>
        <w:pStyle w:val="Compact"/>
        <w:numPr>
          <w:ilvl w:val="0"/>
          <w:numId w:val="1001"/>
        </w:numPr>
      </w:pPr>
      <w:hyperlink r:id="rId24">
        <w:r>
          <w:rPr>
            <w:rStyle w:val="Hyperlink"/>
          </w:rPr>
          <w:t xml:space="preserve">Deliberate practice</w:t>
        </w:r>
      </w:hyperlink>
    </w:p>
    <w:p>
      <w:pPr>
        <w:pStyle w:val="Compact"/>
        <w:numPr>
          <w:ilvl w:val="0"/>
          <w:numId w:val="1001"/>
        </w:numPr>
      </w:pPr>
      <w:hyperlink r:id="rId25">
        <w:r>
          <w:rPr>
            <w:rStyle w:val="Hyperlink"/>
          </w:rPr>
          <w:t xml:space="preserve">Organize band rehearsals</w:t>
        </w:r>
      </w:hyperlink>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academy/articles/organize-band-rehearsals/" TargetMode="External" /><Relationship Type="http://schemas.openxmlformats.org/officeDocument/2006/relationships/hyperlink" Id="rId22" Target="/academy/book-resources/attendance-expectations/" TargetMode="External" /><Relationship Type="http://schemas.openxmlformats.org/officeDocument/2006/relationships/hyperlink" Id="rId24" Target="/academy/book-resources/deliberate-practice/" TargetMode="External" /><Relationship Type="http://schemas.openxmlformats.org/officeDocument/2006/relationships/hyperlink" Id="rId23" Target="/academy/book-resources/rehearsal-agenda/" TargetMode="External" /><Relationship Type="http://schemas.openxmlformats.org/officeDocument/2006/relationships/hyperlink" Id="rId14" Target="/directory/" TargetMode="External" /></Relationships>
</file>

<file path=word/_rels/footnotes.xml.rels><?xml version="1.0" encoding="UTF-8"?><Relationships xmlns="http://schemas.openxmlformats.org/package/2006/relationships"><Relationship Type="http://schemas.openxmlformats.org/officeDocument/2006/relationships/hyperlink" Id="rId25" Target="/academy/articles/organize-band-rehearsals/" TargetMode="External" /><Relationship Type="http://schemas.openxmlformats.org/officeDocument/2006/relationships/hyperlink" Id="rId22" Target="/academy/book-resources/attendance-expectations/" TargetMode="External" /><Relationship Type="http://schemas.openxmlformats.org/officeDocument/2006/relationships/hyperlink" Id="rId24" Target="/academy/book-resources/deliberate-practice/" TargetMode="External" /><Relationship Type="http://schemas.openxmlformats.org/officeDocument/2006/relationships/hyperlink" Id="rId23" Target="/academy/book-resources/rehearsal-agenda/" TargetMode="External" /><Relationship Type="http://schemas.openxmlformats.org/officeDocument/2006/relationships/hyperlink" Id="rId14" Target="/direc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2026-07-27T17:58:45Z</dcterms:created>
  <dcterms:modified xsi:type="dcterms:W3CDTF">2026-07-27T17:58:45Z</dcterms:modified>
</cp:coreProperties>
</file>

<file path=docProps/custom.xml><?xml version="1.0" encoding="utf-8"?>
<Properties xmlns="http://schemas.openxmlformats.org/officeDocument/2006/custom-properties" xmlns:vt="http://schemas.openxmlformats.org/officeDocument/2006/docPropsVTypes"/>
</file>