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7" w:name="milestone-celebration-guide"/>
    <w:p>
      <w:pPr>
        <w:pStyle w:val="Heading1"/>
      </w:pPr>
      <w:r>
        <w:t xml:space="preserve">Milestone Celebration Guide</w:t>
      </w:r>
    </w:p>
    <w:bookmarkStart w:id="9" w:name="how-to-use-this-guide"/>
    <w:p>
      <w:pPr>
        <w:pStyle w:val="Heading2"/>
      </w:pPr>
      <w:r>
        <w:t xml:space="preserve">How to use this guide</w:t>
      </w:r>
    </w:p>
    <w:p>
      <w:pPr>
        <w:pStyle w:val="FirstParagraph"/>
      </w:pPr>
      <w:r>
        <w:t xml:space="preserve">This is a practical Bandmate Academy guide for</w:t>
      </w:r>
      <w:r>
        <w:t xml:space="preserve"> </w:t>
      </w:r>
      <w:r>
        <w:rPr>
          <w:b/>
          <w:bCs/>
        </w:rPr>
        <w:t xml:space="preserve">Milestone Celebration Guide</w:t>
      </w:r>
      <w:r>
        <w:t xml:space="preserve">. Read it with your band, customize fill-in moments, and treat the DOCX as the working copy you mark up together.</w:t>
      </w:r>
    </w:p>
    <w:p>
      <w:pPr>
        <w:pStyle w:val="BodyText"/>
      </w:pPr>
      <w:r>
        <w:t xml:space="preserve">Guide for celebrating band milestones. Work sections in order, write answers for</w:t>
      </w:r>
      <w:r>
        <w:t xml:space="preserve"> </w:t>
      </w:r>
      <w:r>
        <w:rPr>
          <w:i/>
          <w:iCs/>
        </w:rPr>
        <w:t xml:space="preserve">your</w:t>
      </w:r>
      <w:r>
        <w:t xml:space="preserve"> </w:t>
      </w:r>
      <w:r>
        <w:t xml:space="preserve">lineup, and leave with owners and dates.</w:t>
      </w:r>
    </w:p>
    <w:p>
      <w:pPr>
        <w:pStyle w:val="BodyText"/>
      </w:pPr>
      <w:r>
        <w:rPr>
          <w:b/>
          <w:bCs/>
        </w:rPr>
        <w:t xml:space="preserve">Suggested workflow:</w:t>
      </w:r>
      <w:r>
        <w:t xml:space="preserve"> </w:t>
      </w:r>
      <w:r>
        <w:t xml:space="preserve">(1) skim alone, (2) fill in a 30–45 minute band meeting, (3) store next to calendar and money rules, (4) revisit after lineup or goal changes.</w:t>
      </w:r>
    </w:p>
    <w:p>
      <w:pPr>
        <w:pStyle w:val="BodyText"/>
      </w:pPr>
      <w:r>
        <w:t xml:space="preserve">Bands that only mark failures train despair. Recognition sustains hard seasons and makes standards feel human rather than punitive.</w:t>
      </w:r>
    </w:p>
    <w:bookmarkEnd w:id="9"/>
    <w:bookmarkStart w:id="10" w:name="what-counts-as-a-milestone"/>
    <w:p>
      <w:pPr>
        <w:pStyle w:val="Heading2"/>
      </w:pPr>
      <w:r>
        <w:t xml:space="preserve">What counts as a milestone</w:t>
      </w:r>
    </w:p>
    <w:p>
      <w:pPr>
        <w:pStyle w:val="FirstParagraph"/>
      </w:pPr>
      <w:r>
        <w:t xml:space="preserve">Progress compounds when people can see it, so small milestones still count: first paid private, first full set without a stop, first clean handover after a sub night. Only celebrating stadium-sized moments trains the band to feel like failures between rare peaks of attention.</w:t>
      </w:r>
    </w:p>
    <w:p>
      <w:pPr>
        <w:pStyle w:val="BodyText"/>
      </w:pPr>
      <w:r>
        <w:t xml:space="preserve">Name three milestones for the next quarter that a tired player would recognize as real progress, not vanity metrics from a feed. If everything is either nothing or everything, motivation collapses under ordinary weeks of rehearsal, logistics, and small wins that go unmarked.</w:t>
      </w:r>
    </w:p>
    <w:bookmarkEnd w:id="10"/>
    <w:bookmarkStart w:id="11" w:name="celebrate-within-budget"/>
    <w:p>
      <w:pPr>
        <w:pStyle w:val="Heading2"/>
      </w:pPr>
      <w:r>
        <w:t xml:space="preserve">Celebrate within budget</w:t>
      </w:r>
    </w:p>
    <w:p>
      <w:pPr>
        <w:pStyle w:val="FirstParagraph"/>
      </w:pPr>
      <w:r>
        <w:t xml:space="preserve">Ritual and recognition beat expensive parties you cannot afford; A shared meal, a toast, a public thank-you, or a night off can mark the moment without creating debt — namely, ritual and recognition beat expensive parties you cannot afford. A shared meal, a toast, a public thank-you, or a night off can mark the moment without creating debt.</w:t>
      </w:r>
    </w:p>
    <w:p>
      <w:pPr>
        <w:pStyle w:val="BodyText"/>
      </w:pPr>
      <w:r>
        <w:t xml:space="preserve">A shared meal, a toast, a public thank-you, or a night off can mark the moment without creating debt. Ritual and recognition beat expensive parties you cannot afford — next, a shared meal, a toast, a public thank-you, or a night off can mark the moment without creating debt. Ritual and recognition beat expensive parties you cannot afford.</w:t>
      </w:r>
    </w:p>
    <w:bookmarkEnd w:id="11"/>
    <w:bookmarkStart w:id="12" w:name="X9077d257f6e35cc4926ff31e018b42c6f219969"/>
    <w:p>
      <w:pPr>
        <w:pStyle w:val="Heading2"/>
      </w:pPr>
      <w:r>
        <w:t xml:space="preserve">Handle cynics without letting them veto culture</w:t>
      </w:r>
    </w:p>
    <w:p>
      <w:pPr>
        <w:pStyle w:val="FirstParagraph"/>
      </w:pPr>
      <w:r>
        <w:t xml:space="preserve">One person can opt out of a toast; they cannot veto all recognition forever. Culture that only criticizes will lose good people to bands that notice effort — namely, one person can opt out of a toast; they cannot veto all recognition forever. Culture that only criticizes will lose good people to bands that notice effort.</w:t>
      </w:r>
    </w:p>
    <w:p>
      <w:pPr>
        <w:pStyle w:val="BodyText"/>
      </w:pPr>
      <w:r>
        <w:t xml:space="preserve">Culture that only criticizes will lose good people to bands that notice effort; One person can opt out of a toast; they cannot veto all recognition forever — next, culture that only criticizes will lose good people to bands that notice effort. One person can opt out of a toast; they cannot veto all recognition forever.</w:t>
      </w:r>
    </w:p>
    <w:bookmarkEnd w:id="12"/>
    <w:bookmarkStart w:id="13" w:name="fill-in-milestones-ahead"/>
    <w:p>
      <w:pPr>
        <w:pStyle w:val="Heading2"/>
      </w:pPr>
      <w:r>
        <w:t xml:space="preserve">Fill-in: Milestones ahead</w:t>
      </w:r>
    </w:p>
    <w:p>
      <w:pPr>
        <w:pStyle w:val="FirstParagraph"/>
      </w:pPr>
      <w:r>
        <w:rPr>
          <w:b/>
          <w:bCs/>
        </w:rPr>
        <w:t xml:space="preserve">Next milestone:</w:t>
      </w:r>
      <w:r>
        <w:t xml:space="preserve"> </w:t>
      </w:r>
      <w:r>
        <w:t xml:space="preserve">________</w:t>
      </w:r>
    </w:p>
    <w:p>
      <w:pPr>
        <w:pStyle w:val="BodyText"/>
      </w:pPr>
      <w:r>
        <w:rPr>
          <w:b/>
          <w:bCs/>
        </w:rPr>
        <w:t xml:space="preserve">How we mark it:</w:t>
      </w:r>
      <w:r>
        <w:t xml:space="preserve"> </w:t>
      </w:r>
      <w:r>
        <w:t xml:space="preserve">________</w:t>
      </w:r>
    </w:p>
    <w:p>
      <w:pPr>
        <w:pStyle w:val="BodyText"/>
      </w:pPr>
      <w:r>
        <w:rPr>
          <w:b/>
          <w:bCs/>
        </w:rPr>
        <w:t xml:space="preserve">Date:</w:t>
      </w:r>
      <w:r>
        <w:t xml:space="preserve"> </w:t>
      </w:r>
      <w:r>
        <w:t xml:space="preserve">________</w:t>
      </w:r>
    </w:p>
    <w:bookmarkEnd w:id="13"/>
    <w:bookmarkStart w:id="15" w:name="putting-it-into-practice"/>
    <w:p>
      <w:pPr>
        <w:pStyle w:val="Heading2"/>
      </w:pPr>
      <w:r>
        <w:t xml:space="preserve">Putting it into practice</w:t>
      </w:r>
    </w:p>
    <w:p>
      <w:pPr>
        <w:pStyle w:val="FirstParagraph"/>
      </w:pPr>
      <w:r>
        <w:t xml:space="preserve">Name one upcoming milestone and how you will mark it.</w:t>
      </w:r>
    </w:p>
    <w:p>
      <w:pPr>
        <w:pStyle w:val="BodyText"/>
      </w:pPr>
      <w:r>
        <w:t xml:space="preserve">Reopen this filled guide after lineup changes and before busy seasons. Keep profiles current so opportunities can convert, and use the</w:t>
      </w:r>
      <w:r>
        <w:t xml:space="preserve"> </w:t>
      </w:r>
      <w:hyperlink r:id="rId14">
        <w:r>
          <w:rPr>
            <w:rStyle w:val="Hyperlink"/>
          </w:rPr>
          <w:t xml:space="preserve">directory</w:t>
        </w:r>
      </w:hyperlink>
      <w:r>
        <w:t xml:space="preserve"> </w:t>
      </w:r>
      <w:r>
        <w:t xml:space="preserve">when the next step is finding people.</w:t>
      </w:r>
    </w:p>
    <w:bookmarkEnd w:id="15"/>
    <w:bookmarkStart w:id="16" w:name="a-thirty-day-implementation-sprint"/>
    <w:p>
      <w:pPr>
        <w:pStyle w:val="Heading2"/>
      </w:pPr>
      <w:r>
        <w:t xml:space="preserve">A thirty-day implementation sprint</w:t>
      </w:r>
    </w:p>
    <w:p>
      <w:pPr>
        <w:pStyle w:val="FirstParagraph"/>
      </w:pPr>
      <w:r>
        <w:rPr>
          <w:b/>
          <w:bCs/>
        </w:rPr>
        <w:t xml:space="preserve">Week one:</w:t>
      </w:r>
      <w:r>
        <w:t xml:space="preserve"> </w:t>
      </w:r>
      <w:r>
        <w:t xml:space="preserve">read alone and mark real disagreements.</w:t>
      </w:r>
      <w:r>
        <w:t xml:space="preserve"> </w:t>
      </w:r>
      <w:r>
        <w:rPr>
          <w:b/>
          <w:bCs/>
        </w:rPr>
        <w:t xml:space="preserve">Week two:</w:t>
      </w:r>
      <w:r>
        <w:t xml:space="preserve"> </w:t>
      </w:r>
      <w:r>
        <w:t xml:space="preserve">45-minute meeting—fill blanks, assign owners.</w:t>
      </w:r>
      <w:r>
        <w:t xml:space="preserve"> </w:t>
      </w:r>
      <w:r>
        <w:rPr>
          <w:b/>
          <w:bCs/>
        </w:rPr>
        <w:t xml:space="preserve">Week three:</w:t>
      </w:r>
      <w:r>
        <w:t xml:space="preserve"> </w:t>
      </w:r>
      <w:r>
        <w:t xml:space="preserve">use the rules on real rehearsals or outreach.</w:t>
      </w:r>
      <w:r>
        <w:t xml:space="preserve"> </w:t>
      </w:r>
      <w:r>
        <w:rPr>
          <w:b/>
          <w:bCs/>
        </w:rPr>
        <w:t xml:space="preserve">Week four:</w:t>
      </w:r>
      <w:r>
        <w:t xml:space="preserve"> </w:t>
      </w:r>
      <w:r>
        <w:t xml:space="preserve">amend one page and set the next quarterly revisit.</w:t>
      </w:r>
    </w:p>
    <w:bookmarkEnd w:id="16"/>
    <w:bookmarkStart w:id="21" w:name="faq"/>
    <w:p>
      <w:pPr>
        <w:pStyle w:val="Heading2"/>
      </w:pPr>
      <w:r>
        <w:t xml:space="preserve">FAQ</w:t>
      </w:r>
    </w:p>
    <w:bookmarkStart w:id="17" w:name="Xb739d313808a6ff1642c82ec2ea7d817541c445"/>
    <w:p>
      <w:pPr>
        <w:pStyle w:val="Heading3"/>
      </w:pPr>
      <w:r>
        <w:t xml:space="preserve">What counts as a milestone worth celebrating?</w:t>
      </w:r>
    </w:p>
    <w:p>
      <w:pPr>
        <w:pStyle w:val="FirstParagraph"/>
      </w:pPr>
      <w:r>
        <w:t xml:space="preserve">First paid gig, release day, sold room, clean tour leg, tough conflict resolved well. Define your own ladder.</w:t>
      </w:r>
    </w:p>
    <w:bookmarkEnd w:id="17"/>
    <w:bookmarkStart w:id="18" w:name="X465c632c6b7324d93a531f38ae17e72478ef5ce"/>
    <w:p>
      <w:pPr>
        <w:pStyle w:val="Heading3"/>
      </w:pPr>
      <w:r>
        <w:t xml:space="preserve">How do we celebrate without blowing the budget?</w:t>
      </w:r>
    </w:p>
    <w:p>
      <w:pPr>
        <w:pStyle w:val="FirstParagraph"/>
      </w:pPr>
      <w:r>
        <w:t xml:space="preserve">Recognition and shared ritual beat expensive parties. Save big spends for goals you planned.</w:t>
      </w:r>
    </w:p>
    <w:bookmarkEnd w:id="18"/>
    <w:bookmarkStart w:id="19" w:name="should-celebrations-be-public"/>
    <w:p>
      <w:pPr>
        <w:pStyle w:val="Heading3"/>
      </w:pPr>
      <w:r>
        <w:t xml:space="preserve">Should celebrations be public?</w:t>
      </w:r>
    </w:p>
    <w:p>
      <w:pPr>
        <w:pStyle w:val="FirstParagraph"/>
      </w:pPr>
      <w:r>
        <w:t xml:space="preserve">Sometimes. Public posts help marketing; private rituals protect intimacy. Choose on purpose.</w:t>
      </w:r>
    </w:p>
    <w:bookmarkEnd w:id="19"/>
    <w:bookmarkStart w:id="20" w:name="X8eb30f4676e35fcf8d40fa865e3b0562640c351"/>
    <w:p>
      <w:pPr>
        <w:pStyle w:val="Heading3"/>
      </w:pPr>
      <w:r>
        <w:t xml:space="preserve">What if one member dismisses celebrations?</w:t>
      </w:r>
    </w:p>
    <w:p>
      <w:pPr>
        <w:pStyle w:val="FirstParagraph"/>
      </w:pPr>
      <w:r>
        <w:t xml:space="preserve">Do not let one cynic erase culture. They can opt out of the toast; they cannot veto all recognition.</w:t>
      </w:r>
    </w:p>
    <w:bookmarkEnd w:id="20"/>
    <w:bookmarkEnd w:id="21"/>
    <w:bookmarkStart w:id="26" w:name="related-guides"/>
    <w:p>
      <w:pPr>
        <w:pStyle w:val="Heading2"/>
      </w:pPr>
      <w:r>
        <w:t xml:space="preserve">Related guides</w:t>
      </w:r>
    </w:p>
    <w:p>
      <w:pPr>
        <w:pStyle w:val="Compact"/>
        <w:numPr>
          <w:ilvl w:val="0"/>
          <w:numId w:val="1001"/>
        </w:numPr>
      </w:pPr>
      <w:hyperlink r:id="rId22">
        <w:r>
          <w:rPr>
            <w:rStyle w:val="Hyperlink"/>
          </w:rPr>
          <w:t xml:space="preserve">Goal setting</w:t>
        </w:r>
      </w:hyperlink>
    </w:p>
    <w:p>
      <w:pPr>
        <w:pStyle w:val="Compact"/>
        <w:numPr>
          <w:ilvl w:val="0"/>
          <w:numId w:val="1001"/>
        </w:numPr>
      </w:pPr>
      <w:hyperlink r:id="rId23">
        <w:r>
          <w:rPr>
            <w:rStyle w:val="Hyperlink"/>
          </w:rPr>
          <w:t xml:space="preserve">Progress tracking</w:t>
        </w:r>
      </w:hyperlink>
    </w:p>
    <w:p>
      <w:pPr>
        <w:pStyle w:val="Compact"/>
        <w:numPr>
          <w:ilvl w:val="0"/>
          <w:numId w:val="1001"/>
        </w:numPr>
      </w:pPr>
      <w:hyperlink r:id="rId24">
        <w:r>
          <w:rPr>
            <w:rStyle w:val="Hyperlink"/>
          </w:rPr>
          <w:t xml:space="preserve">Building a great fan base</w:t>
        </w:r>
      </w:hyperlink>
    </w:p>
    <w:p>
      <w:pPr>
        <w:pStyle w:val="Compact"/>
        <w:numPr>
          <w:ilvl w:val="0"/>
          <w:numId w:val="1001"/>
        </w:numPr>
      </w:pPr>
      <w:hyperlink r:id="rId25">
        <w:r>
          <w:rPr>
            <w:rStyle w:val="Hyperlink"/>
          </w:rPr>
          <w:t xml:space="preserve">Band culture</w:t>
        </w:r>
      </w:hyperlink>
    </w:p>
    <w:bookmarkEnd w:id="26"/>
    <w:bookmarkEnd w:id="27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24" Target="/academy/articles/building-a-great-fan-base-tips-for-new-bands/" TargetMode="External" /><Relationship Type="http://schemas.openxmlformats.org/officeDocument/2006/relationships/hyperlink" Id="rId25" Target="/academy/book-resources/band-culture/" TargetMode="External" /><Relationship Type="http://schemas.openxmlformats.org/officeDocument/2006/relationships/hyperlink" Id="rId22" Target="/academy/book-resources/goal-setting/" TargetMode="External" /><Relationship Type="http://schemas.openxmlformats.org/officeDocument/2006/relationships/hyperlink" Id="rId23" Target="/academy/book-resources/progress-tracking/" TargetMode="External" /><Relationship Type="http://schemas.openxmlformats.org/officeDocument/2006/relationships/hyperlink" Id="rId14" Target="/directory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/academy/articles/building-a-great-fan-base-tips-for-new-bands/" TargetMode="External" /><Relationship Type="http://schemas.openxmlformats.org/officeDocument/2006/relationships/hyperlink" Id="rId25" Target="/academy/book-resources/band-culture/" TargetMode="External" /><Relationship Type="http://schemas.openxmlformats.org/officeDocument/2006/relationships/hyperlink" Id="rId22" Target="/academy/book-resources/goal-setting/" TargetMode="External" /><Relationship Type="http://schemas.openxmlformats.org/officeDocument/2006/relationships/hyperlink" Id="rId23" Target="/academy/book-resources/progress-tracking/" TargetMode="External" /><Relationship Type="http://schemas.openxmlformats.org/officeDocument/2006/relationships/hyperlink" Id="rId14" Target="/directory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2026-07-27T18:01:20Z</dcterms:created>
  <dcterms:modified xsi:type="dcterms:W3CDTF">2026-07-27T18:01:20Z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