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input-gathering-template"/>
    <w:p>
      <w:pPr>
        <w:pStyle w:val="Heading1"/>
      </w:pPr>
      <w:r>
        <w:t xml:space="preserve">Input Gathering Template</w:t>
      </w:r>
    </w:p>
    <w:bookmarkStart w:id="9" w:name="how-to-use-this-guide"/>
    <w:p>
      <w:pPr>
        <w:pStyle w:val="Heading2"/>
      </w:pPr>
      <w:r>
        <w:t xml:space="preserve">How to use this guide</w:t>
      </w:r>
    </w:p>
    <w:p>
      <w:pPr>
        <w:pStyle w:val="FirstParagraph"/>
      </w:pPr>
      <w:r>
        <w:t xml:space="preserve">This is a practical Bandmate Academy guide for</w:t>
      </w:r>
      <w:r>
        <w:t xml:space="preserve"> </w:t>
      </w:r>
      <w:r>
        <w:rPr>
          <w:b/>
          <w:bCs/>
        </w:rPr>
        <w:t xml:space="preserve">Input Gathering Template</w:t>
      </w:r>
      <w:r>
        <w:t xml:space="preserve">. Read it with your band, customize fill-in moments, and treat the DOCX as the working copy you mark up together.</w:t>
      </w:r>
    </w:p>
    <w:p>
      <w:pPr>
        <w:pStyle w:val="BodyText"/>
      </w:pPr>
      <w:r>
        <w:t xml:space="preserve">Template for gathering input before decisions. Work sections in order, write answers for</w:t>
      </w:r>
      <w:r>
        <w:t xml:space="preserve"> </w:t>
      </w:r>
      <w:r>
        <w:rPr>
          <w:i/>
          <w:iCs/>
        </w:rPr>
        <w:t xml:space="preserve">your</w:t>
      </w:r>
      <w:r>
        <w:t xml:space="preserve"> </w:t>
      </w:r>
      <w:r>
        <w:t xml:space="preserve">lineup, and leave with owners and dates.</w:t>
      </w:r>
    </w:p>
    <w:p>
      <w:pPr>
        <w:pStyle w:val="BodyText"/>
      </w:pPr>
      <w:r>
        <w:rPr>
          <w:b/>
          <w:bCs/>
        </w:rPr>
        <w:t xml:space="preserve">Suggested workflow:</w:t>
      </w:r>
      <w:r>
        <w:t xml:space="preserve"> </w:t>
      </w:r>
      <w:r>
        <w:t xml:space="preserve">(1) skim alone, (2) fill in a 30–45 minute band meeting, (3) store next to calendar and money rules, (4) revisit after lineup or goal changes.</w:t>
      </w:r>
    </w:p>
    <w:p>
      <w:pPr>
        <w:pStyle w:val="BodyText"/>
      </w:pPr>
      <w:r>
        <w:t xml:space="preserve">“Nobody told me” is a process failure. Gather input before decisions that cost everyone’s time or money.</w:t>
      </w:r>
    </w:p>
    <w:bookmarkEnd w:id="9"/>
    <w:bookmarkStart w:id="10" w:name="consensus-is-rare"/>
    <w:p>
      <w:pPr>
        <w:pStyle w:val="Heading2"/>
      </w:pPr>
      <w:r>
        <w:t xml:space="preserve">Consensus is rare</w:t>
      </w:r>
    </w:p>
    <w:p>
      <w:pPr>
        <w:pStyle w:val="FirstParagraph"/>
      </w:pPr>
      <w:r>
        <w:t xml:space="preserve">Identity-level choices may need broad buy-in; Most ops need input then a decider; Treating every decision like a constitutional convention is how bands freeze — namely, identity-level choices may need broad buy-in. Most ops need input then a decider. Treating every decision like a constitutional convention is how bands freeze.</w:t>
      </w:r>
    </w:p>
    <w:p>
      <w:pPr>
        <w:pStyle w:val="BodyText"/>
      </w:pPr>
      <w:r>
        <w:t xml:space="preserve">Treating every decision like a constitutional convention is how bands freeze; Most ops need input then a decider. Identity-level choices may need broad buy-in — next, treating every decision like a constitutional convention is how bands freeze. Most ops need input then a decider. Identity-level choices may need broad buy-in.</w:t>
      </w:r>
    </w:p>
    <w:bookmarkEnd w:id="10"/>
    <w:bookmarkStart w:id="11" w:name="async-first"/>
    <w:p>
      <w:pPr>
        <w:pStyle w:val="Heading2"/>
      </w:pPr>
      <w:r>
        <w:t xml:space="preserve">Async first</w:t>
      </w:r>
    </w:p>
    <w:p>
      <w:pPr>
        <w:pStyle w:val="FirstParagraph"/>
      </w:pPr>
      <w:r>
        <w:t xml:space="preserve">Async rounds with deadlines beat endless meetings that reward whoever can stay latest into the night. Perfectionist polling is delay dressed as inclusion. Enough input means key stakeholders were heard once in writing, not that every preference was optimized to zero conflict.</w:t>
      </w:r>
    </w:p>
    <w:p>
      <w:pPr>
        <w:pStyle w:val="BodyText"/>
      </w:pPr>
      <w:r>
        <w:t xml:space="preserve">Send a short prompt with a clear deadline, collect written answers first, then meet only on the remaining disagreements. Async-first keeps quiet members visible and stops hallway consensus from replacing the real decision page the band can reopen later. Reopen after one real week of use and amend once.</w:t>
      </w:r>
    </w:p>
    <w:bookmarkEnd w:id="11"/>
    <w:bookmarkStart w:id="12" w:name="close-the-loop"/>
    <w:p>
      <w:pPr>
        <w:pStyle w:val="Heading2"/>
      </w:pPr>
      <w:r>
        <w:t xml:space="preserve">Close the loop</w:t>
      </w:r>
    </w:p>
    <w:p>
      <w:pPr>
        <w:pStyle w:val="FirstParagraph"/>
      </w:pPr>
      <w:r>
        <w:t xml:space="preserve">After deciding, tell people what you heard and what you chose. Input without feedback trains people to stop contributing; namely after deciding, tell people what you heard and what you chose. Input without feedback trains people to stop contributing.; hence after deciding, tell people what you heard and what you chose. Input without feedback trains people to stop contributing.</w:t>
      </w:r>
    </w:p>
    <w:p>
      <w:pPr>
        <w:pStyle w:val="BodyText"/>
      </w:pPr>
      <w:r>
        <w:t xml:space="preserve">Input without feedback trains people to stop contributing. After deciding, tell people what you heard and what you chose; namely input without feedback trains people to stop contributing. After deciding, tell people what you heard and what you chose.; hence input without feedback trains people to stop contributing. After deciding, tell people what you heard and what you chose.</w:t>
      </w:r>
    </w:p>
    <w:bookmarkEnd w:id="12"/>
    <w:bookmarkStart w:id="13" w:name="fill-in-input-plan"/>
    <w:p>
      <w:pPr>
        <w:pStyle w:val="Heading2"/>
      </w:pPr>
      <w:r>
        <w:t xml:space="preserve">Fill-in: Input plan</w:t>
      </w:r>
    </w:p>
    <w:p>
      <w:pPr>
        <w:pStyle w:val="FirstParagraph"/>
      </w:pPr>
      <w:r>
        <w:rPr>
          <w:b/>
          <w:bCs/>
        </w:rPr>
        <w:t xml:space="preserve">Decision:</w:t>
      </w:r>
      <w:r>
        <w:t xml:space="preserve"> </w:t>
      </w:r>
      <w:r>
        <w:t xml:space="preserve">________</w:t>
      </w:r>
    </w:p>
    <w:p>
      <w:pPr>
        <w:pStyle w:val="BodyText"/>
      </w:pPr>
      <w:r>
        <w:rPr>
          <w:b/>
          <w:bCs/>
        </w:rPr>
        <w:t xml:space="preserve">Who must be heard:</w:t>
      </w:r>
      <w:r>
        <w:t xml:space="preserve"> </w:t>
      </w:r>
      <w:r>
        <w:t xml:space="preserve">________</w:t>
      </w:r>
    </w:p>
    <w:p>
      <w:pPr>
        <w:pStyle w:val="BodyText"/>
      </w:pPr>
      <w:r>
        <w:rPr>
          <w:b/>
          <w:bCs/>
        </w:rPr>
        <w:t xml:space="preserve">Deadline:</w:t>
      </w:r>
      <w:r>
        <w:t xml:space="preserve"> </w:t>
      </w:r>
      <w:r>
        <w:t xml:space="preserve">________</w:t>
      </w:r>
    </w:p>
    <w:p>
      <w:pPr>
        <w:pStyle w:val="BodyText"/>
      </w:pPr>
      <w:r>
        <w:rPr>
          <w:b/>
          <w:bCs/>
        </w:rPr>
        <w:t xml:space="preserve">Decider:</w:t>
      </w:r>
      <w:r>
        <w:t xml:space="preserve"> </w:t>
      </w:r>
      <w:r>
        <w:t xml:space="preserve">________</w:t>
      </w:r>
    </w:p>
    <w:bookmarkEnd w:id="13"/>
    <w:bookmarkStart w:id="15" w:name="putting-it-into-practice"/>
    <w:p>
      <w:pPr>
        <w:pStyle w:val="Heading2"/>
      </w:pPr>
      <w:r>
        <w:t xml:space="preserve">Putting it into practice</w:t>
      </w:r>
    </w:p>
    <w:p>
      <w:pPr>
        <w:pStyle w:val="FirstParagraph"/>
      </w:pPr>
      <w:r>
        <w:t xml:space="preserve">For the next shared decision, set an input deadline before debate.</w:t>
      </w:r>
    </w:p>
    <w:p>
      <w:pPr>
        <w:pStyle w:val="BodyText"/>
      </w:pPr>
      <w:r>
        <w:t xml:space="preserve">Reopen this filled guide after lineup changes and before busy seasons. Keep profiles current so opportunities can convert, and use the</w:t>
      </w:r>
      <w:r>
        <w:t xml:space="preserve"> </w:t>
      </w:r>
      <w:hyperlink r:id="rId14">
        <w:r>
          <w:rPr>
            <w:rStyle w:val="Hyperlink"/>
          </w:rPr>
          <w:t xml:space="preserve">directory</w:t>
        </w:r>
      </w:hyperlink>
      <w:r>
        <w:t xml:space="preserve"> </w:t>
      </w:r>
      <w:r>
        <w:t xml:space="preserve">when the next step is finding people.</w:t>
      </w:r>
    </w:p>
    <w:bookmarkEnd w:id="15"/>
    <w:bookmarkStart w:id="16" w:name="a-thirty-day-implementation-sprint"/>
    <w:p>
      <w:pPr>
        <w:pStyle w:val="Heading2"/>
      </w:pPr>
      <w:r>
        <w:t xml:space="preserve">A thirty-day implementation sprint</w:t>
      </w:r>
    </w:p>
    <w:p>
      <w:pPr>
        <w:pStyle w:val="FirstParagraph"/>
      </w:pPr>
      <w:r>
        <w:rPr>
          <w:b/>
          <w:bCs/>
        </w:rPr>
        <w:t xml:space="preserve">Week one:</w:t>
      </w:r>
      <w:r>
        <w:t xml:space="preserve"> </w:t>
      </w:r>
      <w:r>
        <w:t xml:space="preserve">read alone and mark real disagreements.</w:t>
      </w:r>
      <w:r>
        <w:t xml:space="preserve"> </w:t>
      </w:r>
      <w:r>
        <w:rPr>
          <w:b/>
          <w:bCs/>
        </w:rPr>
        <w:t xml:space="preserve">Week two:</w:t>
      </w:r>
      <w:r>
        <w:t xml:space="preserve"> </w:t>
      </w:r>
      <w:r>
        <w:t xml:space="preserve">45-minute meeting—fill blanks, assign owners.</w:t>
      </w:r>
      <w:r>
        <w:t xml:space="preserve"> </w:t>
      </w:r>
      <w:r>
        <w:rPr>
          <w:b/>
          <w:bCs/>
        </w:rPr>
        <w:t xml:space="preserve">Week three:</w:t>
      </w:r>
      <w:r>
        <w:t xml:space="preserve"> </w:t>
      </w:r>
      <w:r>
        <w:t xml:space="preserve">use the rules on real rehearsals or outreach.</w:t>
      </w:r>
      <w:r>
        <w:t xml:space="preserve"> </w:t>
      </w:r>
      <w:r>
        <w:rPr>
          <w:b/>
          <w:bCs/>
        </w:rPr>
        <w:t xml:space="preserve">Week four:</w:t>
      </w:r>
      <w:r>
        <w:t xml:space="preserve"> </w:t>
      </w:r>
      <w:r>
        <w:t xml:space="preserve">amend one page and set the next quarterly revisit.</w:t>
      </w:r>
    </w:p>
    <w:bookmarkEnd w:id="16"/>
    <w:bookmarkStart w:id="21" w:name="faq"/>
    <w:p>
      <w:pPr>
        <w:pStyle w:val="Heading2"/>
      </w:pPr>
      <w:r>
        <w:t xml:space="preserve">FAQ</w:t>
      </w:r>
    </w:p>
    <w:bookmarkStart w:id="17" w:name="when-is-full-consensus-required"/>
    <w:p>
      <w:pPr>
        <w:pStyle w:val="Heading3"/>
      </w:pPr>
      <w:r>
        <w:t xml:space="preserve">When is full consensus required?</w:t>
      </w:r>
    </w:p>
    <w:p>
      <w:pPr>
        <w:pStyle w:val="FirstParagraph"/>
      </w:pPr>
      <w:r>
        <w:t xml:space="preserve">Rarely—identity-level choices (name, major brand pivots, who is in the band). Most ops need input then a decider.</w:t>
      </w:r>
    </w:p>
    <w:bookmarkEnd w:id="17"/>
    <w:bookmarkStart w:id="18" w:name="X96c32cc968002e7c839ad4cb2d475d2559fd8e4"/>
    <w:p>
      <w:pPr>
        <w:pStyle w:val="Heading3"/>
      </w:pPr>
      <w:r>
        <w:t xml:space="preserve">How do we gather input without endless meetings?</w:t>
      </w:r>
    </w:p>
    <w:p>
      <w:pPr>
        <w:pStyle w:val="FirstParagraph"/>
      </w:pPr>
      <w:r>
        <w:t xml:space="preserve">Async prompts with a deadline, then a short decision meeting. Open-ended chat threads never end.</w:t>
      </w:r>
    </w:p>
    <w:bookmarkEnd w:id="18"/>
    <w:bookmarkStart w:id="19" w:name="what-if-quiet-members-never-speak"/>
    <w:p>
      <w:pPr>
        <w:pStyle w:val="Heading3"/>
      </w:pPr>
      <w:r>
        <w:t xml:space="preserve">What if quiet members never speak?</w:t>
      </w:r>
    </w:p>
    <w:p>
      <w:pPr>
        <w:pStyle w:val="FirstParagraph"/>
      </w:pPr>
      <w:r>
        <w:t xml:space="preserve">Ask them directly or use written rounds. Silence is not always agreement; sometimes it is conflict avoidance.</w:t>
      </w:r>
    </w:p>
    <w:bookmarkEnd w:id="19"/>
    <w:bookmarkStart w:id="20" w:name="how-much-input-is-enough"/>
    <w:p>
      <w:pPr>
        <w:pStyle w:val="Heading3"/>
      </w:pPr>
      <w:r>
        <w:t xml:space="preserve">How much input is enough?</w:t>
      </w:r>
    </w:p>
    <w:p>
      <w:pPr>
        <w:pStyle w:val="FirstParagraph"/>
      </w:pPr>
      <w:r>
        <w:t xml:space="preserve">Enough that key stakeholders were heard once. Perfectionist polling is delay.</w:t>
      </w:r>
    </w:p>
    <w:bookmarkEnd w:id="20"/>
    <w:bookmarkEnd w:id="21"/>
    <w:bookmarkStart w:id="26" w:name="related-guides"/>
    <w:p>
      <w:pPr>
        <w:pStyle w:val="Heading2"/>
      </w:pPr>
      <w:r>
        <w:t xml:space="preserve">Related guides</w:t>
      </w:r>
    </w:p>
    <w:p>
      <w:pPr>
        <w:pStyle w:val="Compact"/>
        <w:numPr>
          <w:ilvl w:val="0"/>
          <w:numId w:val="1001"/>
        </w:numPr>
      </w:pPr>
      <w:hyperlink r:id="rId22">
        <w:r>
          <w:rPr>
            <w:rStyle w:val="Hyperlink"/>
          </w:rPr>
          <w:t xml:space="preserve">Decision framework</w:t>
        </w:r>
      </w:hyperlink>
    </w:p>
    <w:p>
      <w:pPr>
        <w:pStyle w:val="Compact"/>
        <w:numPr>
          <w:ilvl w:val="0"/>
          <w:numId w:val="1001"/>
        </w:numPr>
      </w:pPr>
      <w:hyperlink r:id="rId23">
        <w:r>
          <w:rPr>
            <w:rStyle w:val="Hyperlink"/>
          </w:rPr>
          <w:t xml:space="preserve">Decision criteria</w:t>
        </w:r>
      </w:hyperlink>
    </w:p>
    <w:p>
      <w:pPr>
        <w:pStyle w:val="Compact"/>
        <w:numPr>
          <w:ilvl w:val="0"/>
          <w:numId w:val="1001"/>
        </w:numPr>
      </w:pPr>
      <w:hyperlink r:id="rId24">
        <w:r>
          <w:rPr>
            <w:rStyle w:val="Hyperlink"/>
          </w:rPr>
          <w:t xml:space="preserve">Meeting agenda</w:t>
        </w:r>
      </w:hyperlink>
    </w:p>
    <w:p>
      <w:pPr>
        <w:pStyle w:val="Compact"/>
        <w:numPr>
          <w:ilvl w:val="0"/>
          <w:numId w:val="1001"/>
        </w:numPr>
      </w:pPr>
      <w:hyperlink r:id="rId25">
        <w:r>
          <w:rPr>
            <w:rStyle w:val="Hyperlink"/>
          </w:rPr>
          <w:t xml:space="preserve">Band communication tips</w:t>
        </w:r>
      </w:hyperlink>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5" Target="/academy/articles/band-communication-tips/" TargetMode="External" /><Relationship Type="http://schemas.openxmlformats.org/officeDocument/2006/relationships/hyperlink" Id="rId23" Target="/academy/book-resources/decision-criteria/" TargetMode="External" /><Relationship Type="http://schemas.openxmlformats.org/officeDocument/2006/relationships/hyperlink" Id="rId22" Target="/academy/book-resources/decision-framework/" TargetMode="External" /><Relationship Type="http://schemas.openxmlformats.org/officeDocument/2006/relationships/hyperlink" Id="rId24" Target="/academy/book-resources/meeting-agenda/" TargetMode="External" /><Relationship Type="http://schemas.openxmlformats.org/officeDocument/2006/relationships/hyperlink" Id="rId14" Target="/directory/" TargetMode="External" /></Relationships>
</file>

<file path=word/_rels/footnotes.xml.rels><?xml version="1.0" encoding="UTF-8"?><Relationships xmlns="http://schemas.openxmlformats.org/package/2006/relationships"><Relationship Type="http://schemas.openxmlformats.org/officeDocument/2006/relationships/hyperlink" Id="rId25" Target="/academy/articles/band-communication-tips/" TargetMode="External" /><Relationship Type="http://schemas.openxmlformats.org/officeDocument/2006/relationships/hyperlink" Id="rId23" Target="/academy/book-resources/decision-criteria/" TargetMode="External" /><Relationship Type="http://schemas.openxmlformats.org/officeDocument/2006/relationships/hyperlink" Id="rId22" Target="/academy/book-resources/decision-framework/" TargetMode="External" /><Relationship Type="http://schemas.openxmlformats.org/officeDocument/2006/relationships/hyperlink" Id="rId24" Target="/academy/book-resources/meeting-agenda/" TargetMode="External" /><Relationship Type="http://schemas.openxmlformats.org/officeDocument/2006/relationships/hyperlink" Id="rId14" Target="/director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2026-07-27T18:00:05Z</dcterms:created>
  <dcterms:modified xsi:type="dcterms:W3CDTF">2026-07-27T18:00:05Z</dcterms:modified>
</cp:coreProperties>
</file>

<file path=docProps/custom.xml><?xml version="1.0" encoding="utf-8"?>
<Properties xmlns="http://schemas.openxmlformats.org/officeDocument/2006/custom-properties" xmlns:vt="http://schemas.openxmlformats.org/officeDocument/2006/docPropsVTypes"/>
</file>