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financial-agreement-template"/>
    <w:p>
      <w:pPr>
        <w:pStyle w:val="Heading1"/>
      </w:pPr>
      <w:r>
        <w:t xml:space="preserve">Financial Agreement Template</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Financial Agreement Template</w:t>
      </w:r>
      <w:r>
        <w:t xml:space="preserve">. Read it with your band, customize fill-in moments, and treat the DOCX as the working copy you mark up together.</w:t>
      </w:r>
    </w:p>
    <w:p>
      <w:pPr>
        <w:pStyle w:val="BodyText"/>
      </w:pPr>
      <w:r>
        <w:t xml:space="preserve">Template for band financial agreements.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Money fights disguise themselves as creative fights. A financial agreement makes splits, expenses, and debts boring—so music can stay interesting.</w:t>
      </w:r>
    </w:p>
    <w:bookmarkEnd w:id="9"/>
    <w:bookmarkStart w:id="10" w:name="what-belongs-in-a-money-agreement"/>
    <w:p>
      <w:pPr>
        <w:pStyle w:val="Heading2"/>
      </w:pPr>
      <w:r>
        <w:t xml:space="preserve">What belongs in a money agreement</w:t>
      </w:r>
    </w:p>
    <w:p>
      <w:pPr>
        <w:pStyle w:val="FirstParagraph"/>
      </w:pPr>
      <w:r>
        <w:t xml:space="preserve">Define how gig pay is split, how expenses are approved, who holds bank access, how merch and streaming income flow, and what happens when someone is owed money at exit. Include a simple rule for unpaid invoices and for members who miss shows.</w:t>
      </w:r>
    </w:p>
    <w:p>
      <w:pPr>
        <w:pStyle w:val="BodyText"/>
      </w:pPr>
      <w:r>
        <w:t xml:space="preserve">If you only write “equal split” without defining equal of what, you have not finished. Equal of door after costs is different from equal of gross before fuel — next, if you only write “equal split” without defining equal of what, you have not finished. Equal of door after costs is different from equal of gross before fuel.</w:t>
      </w:r>
    </w:p>
    <w:bookmarkEnd w:id="10"/>
    <w:bookmarkStart w:id="11" w:name="floors-not-fantasies"/>
    <w:p>
      <w:pPr>
        <w:pStyle w:val="Heading2"/>
      </w:pPr>
      <w:r>
        <w:t xml:space="preserve">Floors, not fantasies</w:t>
      </w:r>
    </w:p>
    <w:p>
      <w:pPr>
        <w:pStyle w:val="FirstParagraph"/>
      </w:pPr>
      <w:r>
        <w:t xml:space="preserve">Price work from a cost floor: fuel, food, subs, gear wear, and a modest time value. Track actuals monthly; Silent underpricing for years is how bitter bands are made — namely, price work from a cost floor: fuel, food, subs, gear wear, and a modest time value. Track actuals monthly. Silent underpricing for years is how bitter bands are made.</w:t>
      </w:r>
    </w:p>
    <w:p>
      <w:pPr>
        <w:pStyle w:val="BodyText"/>
      </w:pPr>
      <w:r>
        <w:t xml:space="preserve">Private events and club doors are different products. Write which model you are in before you quote so nobody is surprised by the number — next, private events and club doors are different products. Write which model you are in before you quote so nobody is surprised by the number.</w:t>
      </w:r>
    </w:p>
    <w:bookmarkEnd w:id="11"/>
    <w:bookmarkStart w:id="12" w:name="transparency-without-chaos"/>
    <w:p>
      <w:pPr>
        <w:pStyle w:val="Heading2"/>
      </w:pPr>
      <w:r>
        <w:t xml:space="preserve">Transparency without chaos</w:t>
      </w:r>
    </w:p>
    <w:p>
      <w:pPr>
        <w:pStyle w:val="FirstParagraph"/>
      </w:pPr>
      <w:r>
        <w:t xml:space="preserve">Shared visibility into balances reduces conspiracy theories; Not everyone needs full admin rights, but everyone should understand the rules. Review money in a short monthly meeting with the sheet open — namely, shared visibility into balances reduces conspiracy theories. Not everyone needs full admin rights, but everyone should understand the rules. Review money in a short monthly meeting with the sheet open.</w:t>
      </w:r>
    </w:p>
    <w:p>
      <w:pPr>
        <w:pStyle w:val="BodyText"/>
      </w:pPr>
      <w:r>
        <w:t xml:space="preserve">When stakes get large—loans, major guarantees, complex publishing—pause and get qualified help. Friendly templates are not a substitute for professional advice on career-sized downside — next, when stakes get large—loans, major guarantees, complex publishing—pause and get qualified help. Friendly templates are not a substitute for professional advice on career-sized downside.</w:t>
      </w:r>
    </w:p>
    <w:bookmarkEnd w:id="12"/>
    <w:bookmarkStart w:id="13" w:name="fill-in-money-rules-we-agree"/>
    <w:p>
      <w:pPr>
        <w:pStyle w:val="Heading2"/>
      </w:pPr>
      <w:r>
        <w:t xml:space="preserve">Fill-in: Money rules we agree</w:t>
      </w:r>
    </w:p>
    <w:p>
      <w:pPr>
        <w:pStyle w:val="FirstParagraph"/>
      </w:pPr>
      <w:r>
        <w:rPr>
          <w:b/>
          <w:bCs/>
        </w:rPr>
        <w:t xml:space="preserve">Split model:</w:t>
      </w:r>
      <w:r>
        <w:t xml:space="preserve"> </w:t>
      </w:r>
      <w:r>
        <w:t xml:space="preserve">________</w:t>
      </w:r>
    </w:p>
    <w:p>
      <w:pPr>
        <w:pStyle w:val="BodyText"/>
      </w:pPr>
      <w:r>
        <w:rPr>
          <w:b/>
          <w:bCs/>
        </w:rPr>
        <w:t xml:space="preserve">Expense approval threshold:</w:t>
      </w:r>
      <w:r>
        <w:t xml:space="preserve"> </w:t>
      </w:r>
      <w:r>
        <w:t xml:space="preserve">________</w:t>
      </w:r>
    </w:p>
    <w:p>
      <w:pPr>
        <w:pStyle w:val="BodyText"/>
      </w:pPr>
      <w:r>
        <w:rPr>
          <w:b/>
          <w:bCs/>
        </w:rPr>
        <w:t xml:space="preserve">Who pays what fixed costs:</w:t>
      </w:r>
      <w:r>
        <w:t xml:space="preserve"> </w:t>
      </w:r>
      <w:r>
        <w:t xml:space="preserve">________</w:t>
      </w:r>
    </w:p>
    <w:p>
      <w:pPr>
        <w:pStyle w:val="BodyText"/>
      </w:pPr>
      <w:r>
        <w:rPr>
          <w:b/>
          <w:bCs/>
        </w:rPr>
        <w:t xml:space="preserve">Exit repayment rule:</w:t>
      </w:r>
      <w:r>
        <w:t xml:space="preserve"> </w:t>
      </w:r>
      <w:r>
        <w:t xml:space="preserve">________</w:t>
      </w:r>
    </w:p>
    <w:p>
      <w:pPr>
        <w:pStyle w:val="BodyText"/>
      </w:pPr>
      <w:r>
        <w:rPr>
          <w:b/>
          <w:bCs/>
        </w:rPr>
        <w:t xml:space="preserve">Review cadence:</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Write money rules before the next paid gig and reconcile last month’s actuals in the same meeting.</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4" w:name="faq"/>
    <w:p>
      <w:pPr>
        <w:pStyle w:val="Heading2"/>
      </w:pPr>
      <w:r>
        <w:t xml:space="preserve">FAQ</w:t>
      </w:r>
    </w:p>
    <w:bookmarkStart w:id="18" w:name="X57019557a1dbd71214e3549eaa6f76a279da0ca"/>
    <w:p>
      <w:pPr>
        <w:pStyle w:val="Heading3"/>
      </w:pPr>
      <w:r>
        <w:t xml:space="preserve">When do we need a financial agreement separate from a full band agreement?</w:t>
      </w:r>
    </w:p>
    <w:p>
      <w:pPr>
        <w:pStyle w:val="FirstParagraph"/>
      </w:pPr>
      <w:r>
        <w:t xml:space="preserve">When money rules need more detail than a short income section—different splits by income type, expense approval tiers, a band fund, missed-show pay, or buyouts after investments. Use the</w:t>
      </w:r>
      <w:r>
        <w:t xml:space="preserve"> </w:t>
      </w:r>
      <w:hyperlink r:id="rId17">
        <w:r>
          <w:rPr>
            <w:rStyle w:val="Hyperlink"/>
          </w:rPr>
          <w:t xml:space="preserve">band agreement template</w:t>
        </w:r>
      </w:hyperlink>
      <w:r>
        <w:t xml:space="preserve"> </w:t>
      </w:r>
      <w:r>
        <w:t xml:space="preserve">for ownership and governance; use this for how cash actually moves.</w:t>
      </w:r>
    </w:p>
    <w:bookmarkEnd w:id="18"/>
    <w:bookmarkStart w:id="19" w:name="should-gig-money-always-split-equally"/>
    <w:p>
      <w:pPr>
        <w:pStyle w:val="Heading3"/>
      </w:pPr>
      <w:r>
        <w:t xml:space="preserve">Should gig money always split equally?</w:t>
      </w:r>
    </w:p>
    <w:p>
      <w:pPr>
        <w:pStyle w:val="FirstParagraph"/>
      </w:pPr>
      <w:r>
        <w:t xml:space="preserve">Equal split is the simplest default and works for many groups. Weighted or role-based splits are fine when the band agrees upfront (for example, a booker premium or gear owner share)—document the reason so it does not feel arbitrary later.</w:t>
      </w:r>
    </w:p>
    <w:bookmarkEnd w:id="19"/>
    <w:bookmarkStart w:id="20" w:name="Xf59796edc908c93c73f8d65ba9cbda1afec75a3"/>
    <w:p>
      <w:pPr>
        <w:pStyle w:val="Heading3"/>
      </w:pPr>
      <w:r>
        <w:t xml:space="preserve">How should we handle a member who misses a paid show?</w:t>
      </w:r>
    </w:p>
    <w:p>
      <w:pPr>
        <w:pStyle w:val="FirstParagraph"/>
      </w:pPr>
      <w:r>
        <w:t xml:space="preserve">Decide before it happens: whether a sub takes the full share, the missing member gets nothing or partial pay, and whether no-notice emergencies differ from planned absences. Write that policy once; apply it the same way every time.</w:t>
      </w:r>
    </w:p>
    <w:bookmarkEnd w:id="20"/>
    <w:bookmarkStart w:id="23" w:name="X7221df79ab23cebad9985d9a99f24a157cf093a"/>
    <w:p>
      <w:pPr>
        <w:pStyle w:val="Heading3"/>
      </w:pPr>
      <w:r>
        <w:t xml:space="preserve">How often should we review financial terms?</w:t>
      </w:r>
    </w:p>
    <w:p>
      <w:pPr>
        <w:pStyle w:val="FirstParagraph"/>
      </w:pPr>
      <w:r>
        <w:t xml:space="preserve">At least yearly, plus when someone joins or leaves, income mix changes (merch, streaming, sync), or you take on a large shared cost. Pair reviews with open books—</w:t>
      </w:r>
      <w:hyperlink r:id="rId21">
        <w:r>
          <w:rPr>
            <w:rStyle w:val="Hyperlink"/>
          </w:rPr>
          <w:t xml:space="preserve">manage band finances</w:t>
        </w:r>
      </w:hyperlink>
      <w:r>
        <w:t xml:space="preserve"> </w:t>
      </w:r>
      <w:r>
        <w:t xml:space="preserve">and a</w:t>
      </w:r>
      <w:r>
        <w:t xml:space="preserve"> </w:t>
      </w:r>
      <w:hyperlink r:id="rId22">
        <w:r>
          <w:rPr>
            <w:rStyle w:val="Hyperlink"/>
          </w:rPr>
          <w:t xml:space="preserve">band budget template</w:t>
        </w:r>
      </w:hyperlink>
      <w:r>
        <w:t xml:space="preserve">.</w:t>
      </w:r>
    </w:p>
    <w:bookmarkEnd w:id="23"/>
    <w:bookmarkEnd w:id="24"/>
    <w:bookmarkStart w:id="34" w:name="related-guides"/>
    <w:p>
      <w:pPr>
        <w:pStyle w:val="Heading2"/>
      </w:pPr>
      <w:r>
        <w:t xml:space="preserve">Related guides</w:t>
      </w:r>
    </w:p>
    <w:p>
      <w:pPr>
        <w:pStyle w:val="Compact"/>
        <w:numPr>
          <w:ilvl w:val="0"/>
          <w:numId w:val="1001"/>
        </w:numPr>
      </w:pPr>
      <w:hyperlink r:id="rId17">
        <w:r>
          <w:rPr>
            <w:rStyle w:val="Hyperlink"/>
          </w:rPr>
          <w:t xml:space="preserve">Band agreement template</w:t>
        </w:r>
      </w:hyperlink>
    </w:p>
    <w:p>
      <w:pPr>
        <w:pStyle w:val="Compact"/>
        <w:numPr>
          <w:ilvl w:val="0"/>
          <w:numId w:val="1001"/>
        </w:numPr>
      </w:pPr>
      <w:hyperlink r:id="rId25">
        <w:r>
          <w:rPr>
            <w:rStyle w:val="Hyperlink"/>
          </w:rPr>
          <w:t xml:space="preserve">How to split band revenue</w:t>
        </w:r>
      </w:hyperlink>
    </w:p>
    <w:p>
      <w:pPr>
        <w:pStyle w:val="Compact"/>
        <w:numPr>
          <w:ilvl w:val="0"/>
          <w:numId w:val="1001"/>
        </w:numPr>
      </w:pPr>
      <w:hyperlink r:id="rId21">
        <w:r>
          <w:rPr>
            <w:rStyle w:val="Hyperlink"/>
          </w:rPr>
          <w:t xml:space="preserve">Manage band finances</w:t>
        </w:r>
      </w:hyperlink>
    </w:p>
    <w:p>
      <w:pPr>
        <w:pStyle w:val="Compact"/>
        <w:numPr>
          <w:ilvl w:val="0"/>
          <w:numId w:val="1001"/>
        </w:numPr>
      </w:pPr>
      <w:hyperlink r:id="rId26">
        <w:r>
          <w:rPr>
            <w:rStyle w:val="Hyperlink"/>
          </w:rPr>
          <w:t xml:space="preserve">How to keep band finances organized</w:t>
        </w:r>
      </w:hyperlink>
    </w:p>
    <w:p>
      <w:pPr>
        <w:pStyle w:val="Compact"/>
        <w:numPr>
          <w:ilvl w:val="0"/>
          <w:numId w:val="1001"/>
        </w:numPr>
      </w:pPr>
      <w:hyperlink r:id="rId22">
        <w:r>
          <w:rPr>
            <w:rStyle w:val="Hyperlink"/>
          </w:rPr>
          <w:t xml:space="preserve">Band budget template</w:t>
        </w:r>
      </w:hyperlink>
    </w:p>
    <w:p>
      <w:pPr>
        <w:pStyle w:val="Compact"/>
        <w:numPr>
          <w:ilvl w:val="0"/>
          <w:numId w:val="1001"/>
        </w:numPr>
      </w:pPr>
      <w:hyperlink r:id="rId27">
        <w:r>
          <w:rPr>
            <w:rStyle w:val="Hyperlink"/>
          </w:rPr>
          <w:t xml:space="preserve">Band income tracking</w:t>
        </w:r>
      </w:hyperlink>
    </w:p>
    <w:p>
      <w:pPr>
        <w:pStyle w:val="Compact"/>
        <w:numPr>
          <w:ilvl w:val="0"/>
          <w:numId w:val="1001"/>
        </w:numPr>
      </w:pPr>
      <w:hyperlink r:id="rId28">
        <w:r>
          <w:rPr>
            <w:rStyle w:val="Hyperlink"/>
          </w:rPr>
          <w:t xml:space="preserve">Band expense categories</w:t>
        </w:r>
      </w:hyperlink>
    </w:p>
    <w:p>
      <w:pPr>
        <w:pStyle w:val="Compact"/>
        <w:numPr>
          <w:ilvl w:val="0"/>
          <w:numId w:val="1001"/>
        </w:numPr>
      </w:pPr>
      <w:hyperlink r:id="rId29">
        <w:r>
          <w:rPr>
            <w:rStyle w:val="Hyperlink"/>
          </w:rPr>
          <w:t xml:space="preserve">Band tax preparation checklist</w:t>
        </w:r>
      </w:hyperlink>
    </w:p>
    <w:p>
      <w:pPr>
        <w:pStyle w:val="Compact"/>
        <w:numPr>
          <w:ilvl w:val="0"/>
          <w:numId w:val="1001"/>
        </w:numPr>
      </w:pPr>
      <w:hyperlink r:id="rId30">
        <w:r>
          <w:rPr>
            <w:rStyle w:val="Hyperlink"/>
          </w:rPr>
          <w:t xml:space="preserve">Band contract template</w:t>
        </w:r>
      </w:hyperlink>
    </w:p>
    <w:p>
      <w:pPr>
        <w:pStyle w:val="Compact"/>
        <w:numPr>
          <w:ilvl w:val="0"/>
          <w:numId w:val="1001"/>
        </w:numPr>
      </w:pPr>
      <w:hyperlink r:id="rId31">
        <w:r>
          <w:rPr>
            <w:rStyle w:val="Hyperlink"/>
          </w:rPr>
          <w:t xml:space="preserve">Music contract templates</w:t>
        </w:r>
      </w:hyperlink>
    </w:p>
    <w:p>
      <w:pPr>
        <w:pStyle w:val="Compact"/>
        <w:numPr>
          <w:ilvl w:val="0"/>
          <w:numId w:val="1001"/>
        </w:numPr>
      </w:pPr>
      <w:hyperlink r:id="rId32">
        <w:r>
          <w:rPr>
            <w:rStyle w:val="Hyperlink"/>
          </w:rPr>
          <w:t xml:space="preserve">Band management topic</w:t>
        </w:r>
      </w:hyperlink>
    </w:p>
    <w:p>
      <w:pPr>
        <w:pStyle w:val="Compact"/>
        <w:numPr>
          <w:ilvl w:val="0"/>
          <w:numId w:val="1001"/>
        </w:numPr>
      </w:pPr>
      <w:hyperlink r:id="rId33">
        <w:r>
          <w:rPr>
            <w:rStyle w:val="Hyperlink"/>
          </w:rPr>
          <w:t xml:space="preserve">Free Bandmate account</w:t>
        </w:r>
      </w:hyperlink>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0" Target="/academy/articles/band-contract-template/" TargetMode="External" /><Relationship Type="http://schemas.openxmlformats.org/officeDocument/2006/relationships/hyperlink" Id="rId28" Target="/academy/articles/band-expense-categories/" TargetMode="External" /><Relationship Type="http://schemas.openxmlformats.org/officeDocument/2006/relationships/hyperlink" Id="rId27" Target="/academy/articles/band-income-tracking/" TargetMode="External" /><Relationship Type="http://schemas.openxmlformats.org/officeDocument/2006/relationships/hyperlink" Id="rId29" Target="/academy/articles/band-tax-preparation-checklist/" TargetMode="External" /><Relationship Type="http://schemas.openxmlformats.org/officeDocument/2006/relationships/hyperlink" Id="rId26" Target="/academy/articles/how-to-keep-band-finances-organized/" TargetMode="External" /><Relationship Type="http://schemas.openxmlformats.org/officeDocument/2006/relationships/hyperlink" Id="rId25" Target="/academy/articles/how-to-split-band-revenue/" TargetMode="External" /><Relationship Type="http://schemas.openxmlformats.org/officeDocument/2006/relationships/hyperlink" Id="rId21" Target="/academy/articles/manage-band-finances/" TargetMode="External" /><Relationship Type="http://schemas.openxmlformats.org/officeDocument/2006/relationships/hyperlink" Id="rId17" Target="/academy/book-resources/band-agreement/" TargetMode="External" /><Relationship Type="http://schemas.openxmlformats.org/officeDocument/2006/relationships/hyperlink" Id="rId22" Target="/academy/resources/band-budget-template/" TargetMode="External" /><Relationship Type="http://schemas.openxmlformats.org/officeDocument/2006/relationships/hyperlink" Id="rId31" Target="/academy/resources/music-contract-templates/" TargetMode="External" /><Relationship Type="http://schemas.openxmlformats.org/officeDocument/2006/relationships/hyperlink" Id="rId32" Target="/academy/topics/band-management/" TargetMode="External" /><Relationship Type="http://schemas.openxmlformats.org/officeDocument/2006/relationships/hyperlink" Id="rId14" Target="/directory/" TargetMode="External" /><Relationship Type="http://schemas.openxmlformats.org/officeDocument/2006/relationships/hyperlink" Id="rId33" Target="https://app.bandmate.io/auth/signup" TargetMode="External" /></Relationships>
</file>

<file path=word/_rels/footnotes.xml.rels><?xml version="1.0" encoding="UTF-8"?><Relationships xmlns="http://schemas.openxmlformats.org/package/2006/relationships"><Relationship Type="http://schemas.openxmlformats.org/officeDocument/2006/relationships/hyperlink" Id="rId30" Target="/academy/articles/band-contract-template/" TargetMode="External" /><Relationship Type="http://schemas.openxmlformats.org/officeDocument/2006/relationships/hyperlink" Id="rId28" Target="/academy/articles/band-expense-categories/" TargetMode="External" /><Relationship Type="http://schemas.openxmlformats.org/officeDocument/2006/relationships/hyperlink" Id="rId27" Target="/academy/articles/band-income-tracking/" TargetMode="External" /><Relationship Type="http://schemas.openxmlformats.org/officeDocument/2006/relationships/hyperlink" Id="rId29" Target="/academy/articles/band-tax-preparation-checklist/" TargetMode="External" /><Relationship Type="http://schemas.openxmlformats.org/officeDocument/2006/relationships/hyperlink" Id="rId26" Target="/academy/articles/how-to-keep-band-finances-organized/" TargetMode="External" /><Relationship Type="http://schemas.openxmlformats.org/officeDocument/2006/relationships/hyperlink" Id="rId25" Target="/academy/articles/how-to-split-band-revenue/" TargetMode="External" /><Relationship Type="http://schemas.openxmlformats.org/officeDocument/2006/relationships/hyperlink" Id="rId21" Target="/academy/articles/manage-band-finances/" TargetMode="External" /><Relationship Type="http://schemas.openxmlformats.org/officeDocument/2006/relationships/hyperlink" Id="rId17" Target="/academy/book-resources/band-agreement/" TargetMode="External" /><Relationship Type="http://schemas.openxmlformats.org/officeDocument/2006/relationships/hyperlink" Id="rId22" Target="/academy/resources/band-budget-template/" TargetMode="External" /><Relationship Type="http://schemas.openxmlformats.org/officeDocument/2006/relationships/hyperlink" Id="rId31" Target="/academy/resources/music-contract-templates/" TargetMode="External" /><Relationship Type="http://schemas.openxmlformats.org/officeDocument/2006/relationships/hyperlink" Id="rId32" Target="/academy/topics/band-management/" TargetMode="External" /><Relationship Type="http://schemas.openxmlformats.org/officeDocument/2006/relationships/hyperlink" Id="rId14" Target="/directory/" TargetMode="External" /><Relationship Type="http://schemas.openxmlformats.org/officeDocument/2006/relationships/hyperlink" Id="rId33" Target="https://app.bandmate.io/auth/signu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2026-07-27T17:58:44Z</dcterms:created>
  <dcterms:modified xsi:type="dcterms:W3CDTF">2026-07-27T17:58:44Z</dcterms:modified>
</cp:coreProperties>
</file>

<file path=docProps/custom.xml><?xml version="1.0" encoding="utf-8"?>
<Properties xmlns="http://schemas.openxmlformats.org/officeDocument/2006/custom-properties" xmlns:vt="http://schemas.openxmlformats.org/officeDocument/2006/docPropsVTypes"/>
</file>