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disengagement-guide"/>
    <w:p>
      <w:pPr>
        <w:pStyle w:val="Heading1"/>
      </w:pPr>
      <w:r>
        <w:t xml:space="preserve">Disengagement Guide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Disengagement Guide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Guide for identifying and addressing disengagement.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Checked-out presence—phones, no prep, zero initiative—is a pattern, not a mystery. Hope is not a strategy, and silence trains the pattern to continue.</w:t>
      </w:r>
    </w:p>
    <w:bookmarkEnd w:id="9"/>
    <w:bookmarkStart w:id="10" w:name="early-signs"/>
    <w:p>
      <w:pPr>
        <w:pStyle w:val="Heading2"/>
      </w:pPr>
      <w:r>
        <w:t xml:space="preserve">Early signs</w:t>
      </w:r>
    </w:p>
    <w:p>
      <w:pPr>
        <w:pStyle w:val="FirstParagraph"/>
      </w:pPr>
      <w:r>
        <w:t xml:space="preserve">Chronic lateness, skipped homework, sarcasm about goals, and disappearance from non-glam work are signals. One bad week is human; repeated patterns are information about fit, stress, or conflict — namely, chronic lateness, skipped homework, sarcasm about goals, and disappearance from non-glam work are signals. One bad week is human; repeated patterns are information about fit, stress, or conflict.</w:t>
      </w:r>
    </w:p>
    <w:p>
      <w:pPr>
        <w:pStyle w:val="BodyText"/>
      </w:pPr>
      <w:r>
        <w:t xml:space="preserve">Write what you observe with dates so the conversation is about reality, not a sudden ambush of accumulated resentment; namely write what you observe with dates so the conversation is about reality, not a sudden ambush of accumulated resentment.; hence write what you observe with dates so the conversation is about reality, not a sudden ambush of accumulated resentment.</w:t>
      </w:r>
    </w:p>
    <w:bookmarkEnd w:id="10"/>
    <w:bookmarkStart w:id="11" w:name="first-response"/>
    <w:p>
      <w:pPr>
        <w:pStyle w:val="Heading2"/>
      </w:pPr>
      <w:r>
        <w:t xml:space="preserve">First response</w:t>
      </w:r>
    </w:p>
    <w:p>
      <w:pPr>
        <w:pStyle w:val="FirstParagraph"/>
      </w:pPr>
      <w:r>
        <w:t xml:space="preserve">Private curiosity first: is it life stress, loss of fit, or unresolved conflict?; Diagnose before sentencing. People sometimes re-engage when the role or load is adjusted honestly — namely, private curiosity first: is it life stress, loss of fit, or unresolved conflict? Diagnose before sentencing. People sometimes re-engage when the role or load is adjusted honestly.</w:t>
      </w:r>
    </w:p>
    <w:p>
      <w:pPr>
        <w:pStyle w:val="BodyText"/>
      </w:pPr>
      <w:r>
        <w:t xml:space="preserve">Curiosity is not endless. Name a window for reset and what the note re-engaged” looks like in behavior; namely curiosity is not endless. Name a window for reset and what the note re-engaged” looks like in behavior.; hence curiosity is not endless. Name a window for reset and what the note re-engaged” looks like in behavior.</w:t>
      </w:r>
    </w:p>
    <w:bookmarkEnd w:id="11"/>
    <w:bookmarkStart w:id="12" w:name="reset-or-exit"/>
    <w:p>
      <w:pPr>
        <w:pStyle w:val="Heading2"/>
      </w:pPr>
      <w:r>
        <w:t xml:space="preserve">Reset or exit</w:t>
      </w:r>
    </w:p>
    <w:p>
      <w:pPr>
        <w:pStyle w:val="FirstParagraph"/>
      </w:pPr>
      <w:r>
        <w:t xml:space="preserve">Role changes, time off, or clearer goals can reverse some cases; High impact plus low ownership after a clear window means exit planning. Reliable members should not permanently carry a ghost seat — namely, role changes, time off, or clearer goals can reverse some cases. High impact plus low ownership after a clear window means exit planning. Reliable members should not permanently carry a ghost seat.</w:t>
      </w:r>
    </w:p>
    <w:p>
      <w:pPr>
        <w:pStyle w:val="BodyText"/>
      </w:pPr>
      <w:r>
        <w:t xml:space="preserve">Reliable members should not permanently carry a ghost seat; High impact plus low ownership after a clear window means exit planning. Role changes, time off, or clearer goals can reverse some cases — next, reliable members should not permanently carry a ghost seat. High impact plus low ownership after a clear window means exit planning. Role changes, time off, or clearer goals can reverse some cases.</w:t>
      </w:r>
    </w:p>
    <w:bookmarkEnd w:id="12"/>
    <w:bookmarkStart w:id="13" w:name="fill-in-disengagement-notes"/>
    <w:p>
      <w:pPr>
        <w:pStyle w:val="Heading2"/>
      </w:pPr>
      <w:r>
        <w:t xml:space="preserve">Fill-in: Disengagement notes</w:t>
      </w:r>
    </w:p>
    <w:p>
      <w:pPr>
        <w:pStyle w:val="FirstParagraph"/>
      </w:pPr>
      <w:r>
        <w:rPr>
          <w:b/>
          <w:bCs/>
        </w:rPr>
        <w:t xml:space="preserve">Patterns: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Conversation date: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Reset plan: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Review date: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If disengagement is visible, schedule a curiosity conversation this week.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what-are-early-signs-of-disengagement"/>
    <w:p>
      <w:pPr>
        <w:pStyle w:val="Heading3"/>
      </w:pPr>
      <w:r>
        <w:t xml:space="preserve">What are early signs of disengagement?</w:t>
      </w:r>
    </w:p>
    <w:p>
      <w:pPr>
        <w:pStyle w:val="FirstParagraph"/>
      </w:pPr>
      <w:r>
        <w:t xml:space="preserve">Chronic lateness, no homework, sarcasm about goals, and disappearing from non-glam work. Patterns matter more than one bad week.</w:t>
      </w:r>
    </w:p>
    <w:bookmarkEnd w:id="17"/>
    <w:bookmarkStart w:id="18" w:name="how-do-we-respond-first"/>
    <w:p>
      <w:pPr>
        <w:pStyle w:val="Heading3"/>
      </w:pPr>
      <w:r>
        <w:t xml:space="preserve">How do we respond first?</w:t>
      </w:r>
    </w:p>
    <w:p>
      <w:pPr>
        <w:pStyle w:val="FirstParagraph"/>
      </w:pPr>
      <w:r>
        <w:t xml:space="preserve">Private curiosity: is it life stress, loss of fit, or conflict? Diagnose before sentencing.</w:t>
      </w:r>
    </w:p>
    <w:bookmarkEnd w:id="18"/>
    <w:bookmarkStart w:id="19" w:name="can-disengagement-be-reversed"/>
    <w:p>
      <w:pPr>
        <w:pStyle w:val="Heading3"/>
      </w:pPr>
      <w:r>
        <w:t xml:space="preserve">Can disengagement be reversed?</w:t>
      </w:r>
    </w:p>
    <w:p>
      <w:pPr>
        <w:pStyle w:val="FirstParagraph"/>
      </w:pPr>
      <w:r>
        <w:t xml:space="preserve">Sometimes with role changes, time off, or clearer goals. It cannot be reversed by pretending not to notice.</w:t>
      </w:r>
    </w:p>
    <w:bookmarkEnd w:id="19"/>
    <w:bookmarkStart w:id="20" w:name="when-is-exit-the-right-path"/>
    <w:p>
      <w:pPr>
        <w:pStyle w:val="Heading3"/>
      </w:pPr>
      <w:r>
        <w:t xml:space="preserve">When is exit the right path?</w:t>
      </w:r>
    </w:p>
    <w:p>
      <w:pPr>
        <w:pStyle w:val="FirstParagraph"/>
      </w:pPr>
      <w:r>
        <w:t xml:space="preserve">When impact on the band stays high and ownership stays low after a clear reset window.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Performance review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Difficult conversations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Departure conversation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Band relationships topic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4" Target="/academy/book-resources/departure-conversation/" TargetMode="External" /><Relationship Type="http://schemas.openxmlformats.org/officeDocument/2006/relationships/hyperlink" Id="rId23" Target="/academy/book-resources/difficult-conversations/" TargetMode="External" /><Relationship Type="http://schemas.openxmlformats.org/officeDocument/2006/relationships/hyperlink" Id="rId22" Target="/academy/book-resources/performance-review/" TargetMode="External" /><Relationship Type="http://schemas.openxmlformats.org/officeDocument/2006/relationships/hyperlink" Id="rId25" Target="/academy/topics/band-relationships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academy/book-resources/departure-conversation/" TargetMode="External" /><Relationship Type="http://schemas.openxmlformats.org/officeDocument/2006/relationships/hyperlink" Id="rId23" Target="/academy/book-resources/difficult-conversations/" TargetMode="External" /><Relationship Type="http://schemas.openxmlformats.org/officeDocument/2006/relationships/hyperlink" Id="rId22" Target="/academy/book-resources/performance-review/" TargetMode="External" /><Relationship Type="http://schemas.openxmlformats.org/officeDocument/2006/relationships/hyperlink" Id="rId25" Target="/academy/topics/band-relationships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2026-07-27T17:58:44Z</dcterms:created>
  <dcterms:modified xsi:type="dcterms:W3CDTF">2026-07-27T17:58:44Z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