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decision-making-framework"/>
    <w:p>
      <w:pPr>
        <w:pStyle w:val="Heading1"/>
      </w:pPr>
      <w:r>
        <w:t xml:space="preserve">Decision-Making Framework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Decision-Making Framework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Framework for making band decisions.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Endless debate is usually missing a decision rule. Frameworks make speed and fairness possible when stakes and stress rise.</w:t>
      </w:r>
    </w:p>
    <w:bookmarkEnd w:id="9"/>
    <w:bookmarkStart w:id="10" w:name="match-method-to-stakes"/>
    <w:p>
      <w:pPr>
        <w:pStyle w:val="Heading2"/>
      </w:pPr>
      <w:r>
        <w:t xml:space="preserve">Match method to stakes</w:t>
      </w:r>
    </w:p>
    <w:p>
      <w:pPr>
        <w:pStyle w:val="FirstParagraph"/>
      </w:pPr>
      <w:r>
        <w:t xml:space="preserve">Consensus for identity-level choices; majority or leader-decides for ops after input; Write the method before the fight. Switching methods mid-argument is how people feel cheated — namely, consensus for identity-level choices; majority or leader-decides for ops after input. Write the method before the fight. Switching methods mid-argument is how people feel cheated.</w:t>
      </w:r>
    </w:p>
    <w:p>
      <w:pPr>
        <w:pStyle w:val="BodyText"/>
      </w:pPr>
      <w:r>
        <w:t xml:space="preserve">Not every decision deserves consensus. Treating font choices like membership votes is how bands die of process; namely not every decision deserves consensus. Treating font choices like membership votes is how bands die of process.; hence not every decision deserves consensus. Treating font choices like membership votes is how bands die of process.</w:t>
      </w:r>
    </w:p>
    <w:bookmarkEnd w:id="10"/>
    <w:bookmarkStart w:id="11" w:name="input-then-decide"/>
    <w:p>
      <w:pPr>
        <w:pStyle w:val="Heading2"/>
      </w:pPr>
      <w:r>
        <w:t xml:space="preserve">Input then decide</w:t>
      </w:r>
    </w:p>
    <w:p>
      <w:pPr>
        <w:pStyle w:val="FirstParagraph"/>
      </w:pPr>
      <w:r>
        <w:t xml:space="preserve">Async input with a deadline, then a decider, beats open chat threads that never end. Quiet members must be asked directly or you are only hearing the loud — namely, async input with a deadline, then a decider, beats open chat threads that never end. Quiet members must be asked directly or you are only hearing the loud.</w:t>
      </w:r>
    </w:p>
    <w:p>
      <w:pPr>
        <w:pStyle w:val="BodyText"/>
      </w:pPr>
      <w:r>
        <w:t xml:space="preserve">Record outcomes with owners and dates. Decisions without records will be re-litigated as if they never happened; namely record outcomes with owners and dates. Decisions without records will be re-litigated as if they never happened.; hence record outcomes with owners and dates. Decisions without records will be re-litigated as if they never happened.</w:t>
      </w:r>
    </w:p>
    <w:bookmarkEnd w:id="11"/>
    <w:bookmarkStart w:id="12" w:name="review-when-reality-changes"/>
    <w:p>
      <w:pPr>
        <w:pStyle w:val="Heading2"/>
      </w:pPr>
      <w:r>
        <w:t xml:space="preserve">Review when reality changes</w:t>
      </w:r>
    </w:p>
    <w:p>
      <w:pPr>
        <w:pStyle w:val="FirstParagraph"/>
      </w:pPr>
      <w:r>
        <w:t xml:space="preserve">A good framework includes when to reopen a decision; Not every change of mood qualifies—new information, new members, or broken assumptions do — namely, a good framework includes when to reopen a decision. Not every change of mood qualifies—new information, new members, or broken assumptions do.</w:t>
      </w:r>
    </w:p>
    <w:p>
      <w:pPr>
        <w:pStyle w:val="BodyText"/>
      </w:pPr>
      <w:r>
        <w:t xml:space="preserve">Not every change of mood qualifies—new information, new members, or broken assumptions do; A good framework includes when to reopen a decision — next, not every change of mood qualifies—new information, new members, or broken assumptions do. A good framework includes when to reopen a decision.</w:t>
      </w:r>
    </w:p>
    <w:bookmarkEnd w:id="12"/>
    <w:bookmarkStart w:id="13" w:name="fill-in-decision-log"/>
    <w:p>
      <w:pPr>
        <w:pStyle w:val="Heading2"/>
      </w:pPr>
      <w:r>
        <w:t xml:space="preserve">Fill-in: Decision log</w:t>
      </w:r>
    </w:p>
    <w:p>
      <w:pPr>
        <w:pStyle w:val="FirstParagraph"/>
      </w:pPr>
      <w:r>
        <w:rPr>
          <w:b/>
          <w:bCs/>
        </w:rPr>
        <w:t xml:space="preserve">Decision: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Method: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Decider: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Review if: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Adopt a written decision rule for money and booking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7" w:name="X221230df82d5437ac42e176b8a02842425da8d1"/>
    <w:p>
      <w:pPr>
        <w:pStyle w:val="Heading3"/>
      </w:pPr>
      <w:r>
        <w:t xml:space="preserve">When should a band use consensus vs. majority vote vs. leader-decides?</w:t>
      </w:r>
    </w:p>
    <w:p>
      <w:pPr>
        <w:pStyle w:val="FirstParagraph"/>
      </w:pPr>
      <w:r>
        <w:t xml:space="preserve">Use consensus for membership, major money, and direction changes; majority for medium choices with clear options; leader-with-input for operations and time-sensitive calls; delegated for role-level details. Matching style to stakes is the whole point of this framework.</w:t>
      </w:r>
    </w:p>
    <w:bookmarkEnd w:id="17"/>
    <w:bookmarkStart w:id="18" w:name="X50e51caae5e59ecdb7220cff735de79a0968779"/>
    <w:p>
      <w:pPr>
        <w:pStyle w:val="Heading3"/>
      </w:pPr>
      <w:r>
        <w:t xml:space="preserve">How do we stop reopening the same decision every rehearsal?</w:t>
      </w:r>
    </w:p>
    <w:p>
      <w:pPr>
        <w:pStyle w:val="FirstParagraph"/>
      </w:pPr>
      <w:r>
        <w:t xml:space="preserve">Write the decision, the style used, and a review date. Agree that reopening requires new facts or a consensus to revisit—not whoever complains loudest in the group chat. Commitment after disagreement is a cultural skill, not rudeness.</w:t>
      </w:r>
    </w:p>
    <w:bookmarkEnd w:id="18"/>
    <w:bookmarkStart w:id="19" w:name="X92b08bc1307497f9510be62afb45853975a1e48"/>
    <w:p>
      <w:pPr>
        <w:pStyle w:val="Heading3"/>
      </w:pPr>
      <w:r>
        <w:t xml:space="preserve">Who should document decisions and where should they live?</w:t>
      </w:r>
    </w:p>
    <w:p>
      <w:pPr>
        <w:pStyle w:val="FirstParagraph"/>
      </w:pPr>
      <w:r>
        <w:t xml:space="preserve">Pick one owner (often the leader or admin) and one place everyone can find: shared doc, ops folder, or band workspace. Unwritten</w:t>
      </w:r>
      <w:r>
        <w:t xml:space="preserve"> </w:t>
      </w:r>
      <w:r>
        <w:t xml:space="preserve">“we decided that”</w:t>
      </w:r>
      <w:r>
        <w:t xml:space="preserve"> </w:t>
      </w:r>
      <w:r>
        <w:t xml:space="preserve">is how three versions of the setlist appear on show day.</w:t>
      </w:r>
    </w:p>
    <w:bookmarkEnd w:id="19"/>
    <w:bookmarkStart w:id="21" w:name="X76b73f59f2cb9f565317f1f5ad9e93e0f5f64d5"/>
    <w:p>
      <w:pPr>
        <w:pStyle w:val="Heading3"/>
      </w:pPr>
      <w:r>
        <w:t xml:space="preserve">Which decisions always need full-band buy-in?</w:t>
      </w:r>
    </w:p>
    <w:p>
      <w:pPr>
        <w:pStyle w:val="FirstParagraph"/>
      </w:pPr>
      <w:r>
        <w:t xml:space="preserve">Adding or removing members, large financial commitments, genre/identity pivots, and any choice that permanently changes who shares risk. Operational items (rehearsal time tweaks, gear choices within role) should not require a summit. Pair this framework with written</w:t>
      </w:r>
      <w:r>
        <w:t xml:space="preserve"> </w:t>
      </w:r>
      <w:hyperlink r:id="rId20">
        <w:r>
          <w:rPr>
            <w:rStyle w:val="Hyperlink"/>
          </w:rPr>
          <w:t xml:space="preserve">decision criteria</w:t>
        </w:r>
      </w:hyperlink>
      <w:r>
        <w:t xml:space="preserve"> </w:t>
      </w:r>
      <w:r>
        <w:t xml:space="preserve">so you evaluate options the same way twice.</w:t>
      </w:r>
    </w:p>
    <w:bookmarkEnd w:id="21"/>
    <w:bookmarkEnd w:id="22"/>
    <w:bookmarkStart w:id="31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Decision criteria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Decision assessment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Input gathering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Leadership framework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Band agreement template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The art of band organization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Band management tools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Band management topic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Free Bandmate account</w:t>
        </w:r>
      </w:hyperlink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7" Target="/academy/articles/the-art-of-band-organization-mastering-the-business-side/" TargetMode="External" /><Relationship Type="http://schemas.openxmlformats.org/officeDocument/2006/relationships/hyperlink" Id="rId26" Target="/academy/book-resources/band-agreement/" TargetMode="External" /><Relationship Type="http://schemas.openxmlformats.org/officeDocument/2006/relationships/hyperlink" Id="rId23" Target="/academy/book-resources/decision-assessment/" TargetMode="External" /><Relationship Type="http://schemas.openxmlformats.org/officeDocument/2006/relationships/hyperlink" Id="rId20" Target="/academy/book-resources/decision-criteria/" TargetMode="External" /><Relationship Type="http://schemas.openxmlformats.org/officeDocument/2006/relationships/hyperlink" Id="rId24" Target="/academy/book-resources/input-gathering/" TargetMode="External" /><Relationship Type="http://schemas.openxmlformats.org/officeDocument/2006/relationships/hyperlink" Id="rId25" Target="/academy/book-resources/leadership-framework/" TargetMode="External" /><Relationship Type="http://schemas.openxmlformats.org/officeDocument/2006/relationships/hyperlink" Id="rId28" Target="/academy/resources/band-management-tools/" TargetMode="External" /><Relationship Type="http://schemas.openxmlformats.org/officeDocument/2006/relationships/hyperlink" Id="rId29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0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/academy/articles/the-art-of-band-organization-mastering-the-business-side/" TargetMode="External" /><Relationship Type="http://schemas.openxmlformats.org/officeDocument/2006/relationships/hyperlink" Id="rId26" Target="/academy/book-resources/band-agreement/" TargetMode="External" /><Relationship Type="http://schemas.openxmlformats.org/officeDocument/2006/relationships/hyperlink" Id="rId23" Target="/academy/book-resources/decision-assessment/" TargetMode="External" /><Relationship Type="http://schemas.openxmlformats.org/officeDocument/2006/relationships/hyperlink" Id="rId20" Target="/academy/book-resources/decision-criteria/" TargetMode="External" /><Relationship Type="http://schemas.openxmlformats.org/officeDocument/2006/relationships/hyperlink" Id="rId24" Target="/academy/book-resources/input-gathering/" TargetMode="External" /><Relationship Type="http://schemas.openxmlformats.org/officeDocument/2006/relationships/hyperlink" Id="rId25" Target="/academy/book-resources/leadership-framework/" TargetMode="External" /><Relationship Type="http://schemas.openxmlformats.org/officeDocument/2006/relationships/hyperlink" Id="rId28" Target="/academy/resources/band-management-tools/" TargetMode="External" /><Relationship Type="http://schemas.openxmlformats.org/officeDocument/2006/relationships/hyperlink" Id="rId29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0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