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core-vision-worksheet"/>
    <w:p>
      <w:pPr>
        <w:pStyle w:val="Heading1"/>
      </w:pPr>
      <w:r>
        <w:t xml:space="preserve">Core Vision Worksheet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Core Vision Worksheet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Worksheet for defining and maintaining core vision.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Worksheets force specifics where vibes hide disagreement. Use them before big hires or brand pivots so conflict appears early, on paper, not mid-tour.</w:t>
      </w:r>
    </w:p>
    <w:bookmarkEnd w:id="9"/>
    <w:bookmarkStart w:id="10" w:name="facilitate-once-with-care"/>
    <w:p>
      <w:pPr>
        <w:pStyle w:val="Heading2"/>
      </w:pPr>
      <w:r>
        <w:t xml:space="preserve">Facilitate once with care</w:t>
      </w:r>
    </w:p>
    <w:p>
      <w:pPr>
        <w:pStyle w:val="FirstParagraph"/>
      </w:pPr>
      <w:r>
        <w:t xml:space="preserve">A full session takes focused time; Capture answers in writing; Disagreements are success—they surface early when change is still cheap — namely, a full session takes focused time. Capture answers in writing. Disagreements are success—they surface early when change is still cheap.</w:t>
      </w:r>
    </w:p>
    <w:p>
      <w:pPr>
        <w:pStyle w:val="BodyText"/>
      </w:pPr>
      <w:r>
        <w:t xml:space="preserve">Do not let one member dominate the worksheet. Round-robin answers beat monologues; namely do not let one member dominate the worksheet. Round-robin answers beat monologues.; hence do not let one member dominate the worksheet. Round-robin answers beat monologues.; thus do not let one member dominate the worksheet. Round-robin answers beat monologues.</w:t>
      </w:r>
    </w:p>
    <w:bookmarkEnd w:id="10"/>
    <w:bookmarkStart w:id="11" w:name="translate-to-operations"/>
    <w:p>
      <w:pPr>
        <w:pStyle w:val="Heading2"/>
      </w:pPr>
      <w:r>
        <w:t xml:space="preserve">Translate to operations</w:t>
      </w:r>
    </w:p>
    <w:p>
      <w:pPr>
        <w:pStyle w:val="FirstParagraph"/>
      </w:pPr>
      <w:r>
        <w:t xml:space="preserve">Vision without calendar and money rules is decoration; Connect outputs to goals, culture non-negotiables, and the next ninety days of booking or release work — namely, vision without calendar and money rules is decoration. Connect outputs to goals, culture non-negotiables, and the next ninety days of booking or release work.</w:t>
      </w:r>
    </w:p>
    <w:p>
      <w:pPr>
        <w:pStyle w:val="BodyText"/>
      </w:pPr>
      <w:r>
        <w:t xml:space="preserve">Connect outputs to goals, culture non-negotiables, and the next ninety days of booking or release work. Vision without calendar and money rules is decoration — next, connect outputs to goals, culture non-negotiables, and the next ninety days of booking or release work. Vision without calendar and money rules is decoration.</w:t>
      </w:r>
    </w:p>
    <w:bookmarkEnd w:id="11"/>
    <w:bookmarkStart w:id="12" w:name="revisit-on-purpose"/>
    <w:p>
      <w:pPr>
        <w:pStyle w:val="Heading2"/>
      </w:pPr>
      <w:r>
        <w:t xml:space="preserve">Revisit on purpose</w:t>
      </w:r>
    </w:p>
    <w:p>
      <w:pPr>
        <w:pStyle w:val="FirstParagraph"/>
      </w:pPr>
      <w:r>
        <w:t xml:space="preserve">Light review yearly or after major lineup change; If the worksheet is never reopened, it was a ceremony, not a system — namely, light review yearly or after major lineup change. If the worksheet is never reopened, it was a ceremony, not a system.</w:t>
      </w:r>
    </w:p>
    <w:p>
      <w:pPr>
        <w:pStyle w:val="BodyText"/>
      </w:pPr>
      <w:r>
        <w:t xml:space="preserve">If the worksheet is never reopened, it was a ceremony, not a system; Light review yearly or after major lineup change — next, if the worksheet is never reopened, it was a ceremony, not a system. Light review yearly or after major lineup change.</w:t>
      </w:r>
    </w:p>
    <w:bookmarkEnd w:id="12"/>
    <w:bookmarkStart w:id="13" w:name="fill-in-worksheet-outcomes"/>
    <w:p>
      <w:pPr>
        <w:pStyle w:val="Heading2"/>
      </w:pPr>
      <w:r>
        <w:t xml:space="preserve">Fill-in: Worksheet outcomes</w:t>
      </w:r>
    </w:p>
    <w:p>
      <w:pPr>
        <w:pStyle w:val="FirstParagraph"/>
      </w:pPr>
      <w:r>
        <w:rPr>
          <w:b/>
          <w:bCs/>
        </w:rPr>
        <w:t xml:space="preserve">Shared yeses: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Tensions: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Ops implications: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Schedule a vision worksheet session before the next permanent hire.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7" w:name="X039fc56a176781b7a0c0e27dda1473b9f6b43d9"/>
    <w:p>
      <w:pPr>
        <w:pStyle w:val="Heading3"/>
      </w:pPr>
      <w:r>
        <w:t xml:space="preserve">How long does a full core vision session take for a working band?</w:t>
      </w:r>
    </w:p>
    <w:p>
      <w:pPr>
        <w:pStyle w:val="FirstParagraph"/>
      </w:pPr>
      <w:r>
        <w:t xml:space="preserve">Plan one focused block of about two hours for group work after each person finishes individual reflection (often 30–45 minutes on their own). Rushing the</w:t>
      </w:r>
      <w:r>
        <w:t xml:space="preserve"> </w:t>
      </w:r>
      <w:r>
        <w:t xml:space="preserve">“define purpose and values”</w:t>
      </w:r>
      <w:r>
        <w:t xml:space="preserve"> </w:t>
      </w:r>
      <w:r>
        <w:t xml:space="preserve">step produces a slogan nobody uses; unfinished differences show up later as fight-about-gigs syndrome.</w:t>
      </w:r>
    </w:p>
    <w:bookmarkEnd w:id="17"/>
    <w:bookmarkStart w:id="18" w:name="X712a30fa8349095f72d5359886d3893c5a91434"/>
    <w:p>
      <w:pPr>
        <w:pStyle w:val="Heading3"/>
      </w:pPr>
      <w:r>
        <w:t xml:space="preserve">What if members want completely different futures for the project?</w:t>
      </w:r>
    </w:p>
    <w:p>
      <w:pPr>
        <w:pStyle w:val="FirstParagraph"/>
      </w:pPr>
      <w:r>
        <w:t xml:space="preserve">Map overlaps and deal-breakers honestly. Complementary differences (one loves writing, one loves business) can strengthen a band; conflicting destinations (touring vs. hobby-only, genre split) need compromise or an honest parting. Vision work that papers over a deal-breaker only delays the blow-up.</w:t>
      </w:r>
    </w:p>
    <w:bookmarkEnd w:id="18"/>
    <w:bookmarkStart w:id="19" w:name="Xdd2a3c8eb1ab4ff0ead8b5768505ace8b6a6bf8"/>
    <w:p>
      <w:pPr>
        <w:pStyle w:val="Heading3"/>
      </w:pPr>
      <w:r>
        <w:t xml:space="preserve">How often should we revisit the vision statement?</w:t>
      </w:r>
    </w:p>
    <w:p>
      <w:pPr>
        <w:pStyle w:val="FirstParagraph"/>
      </w:pPr>
      <w:r>
        <w:t xml:space="preserve">Do a light alignment check quarterly and a full rewrite only when reality has changed—new members, new market, or lost excitement. Annual recommitment is enough for stable groups; use the living statement in weekly decisions so it does not become a forgotten Google Doc.</w:t>
      </w:r>
    </w:p>
    <w:bookmarkEnd w:id="19"/>
    <w:bookmarkStart w:id="21" w:name="X11c0b78b4e61aa85ea35de199b338499062825e"/>
    <w:p>
      <w:pPr>
        <w:pStyle w:val="Heading3"/>
      </w:pPr>
      <w:r>
        <w:t xml:space="preserve">How should vision shape hiring, setlists, and gig choices?</w:t>
      </w:r>
    </w:p>
    <w:p>
      <w:pPr>
        <w:pStyle w:val="FirstParagraph"/>
      </w:pPr>
      <w:r>
        <w:t xml:space="preserve">Treat it as a filter: does this person, song, or offer move us toward purpose, values, and direction? If</w:t>
      </w:r>
      <w:r>
        <w:t xml:space="preserve"> </w:t>
      </w:r>
      <w:r>
        <w:t xml:space="preserve">“yes”</w:t>
      </w:r>
      <w:r>
        <w:t xml:space="preserve"> </w:t>
      </w:r>
      <w:r>
        <w:t xml:space="preserve">requires inventing a new identity every week, you either need a new vision or you are ignoring the one you wrote. Turn the polished language into a short</w:t>
      </w:r>
      <w:r>
        <w:t xml:space="preserve"> </w:t>
      </w:r>
      <w:hyperlink r:id="rId20">
        <w:r>
          <w:rPr>
            <w:rStyle w:val="Hyperlink"/>
          </w:rPr>
          <w:t xml:space="preserve">vision statement</w:t>
        </w:r>
      </w:hyperlink>
      <w:r>
        <w:t xml:space="preserve"> </w:t>
      </w:r>
      <w:r>
        <w:t xml:space="preserve">you can share externally.</w:t>
      </w:r>
    </w:p>
    <w:bookmarkEnd w:id="21"/>
    <w:bookmarkEnd w:id="22"/>
    <w:bookmarkStart w:id="32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Vision statement template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Goal setting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culture guide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Leadership framework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Decision-making framework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So you want to start a band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Discovering your unique sound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The art of band organization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Band management topic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Free Bandmate account</w:t>
        </w:r>
      </w:hyperlink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/academy/articles/discovering-your-unique-sound-as-a-band-a-musical-journey/" TargetMode="External" /><Relationship Type="http://schemas.openxmlformats.org/officeDocument/2006/relationships/hyperlink" Id="rId27" Target="/academy/articles/so-you-want-to-start-a-band-follow-these-steps/" TargetMode="External" /><Relationship Type="http://schemas.openxmlformats.org/officeDocument/2006/relationships/hyperlink" Id="rId29" Target="/academy/articles/the-art-of-band-organization-mastering-the-business-side/" TargetMode="External" /><Relationship Type="http://schemas.openxmlformats.org/officeDocument/2006/relationships/hyperlink" Id="rId24" Target="/academy/book-resources/band-culture/" TargetMode="External" /><Relationship Type="http://schemas.openxmlformats.org/officeDocument/2006/relationships/hyperlink" Id="rId26" Target="/academy/book-resources/decision-framework/" TargetMode="External" /><Relationship Type="http://schemas.openxmlformats.org/officeDocument/2006/relationships/hyperlink" Id="rId23" Target="/academy/book-resources/goal-setting/" TargetMode="External" /><Relationship Type="http://schemas.openxmlformats.org/officeDocument/2006/relationships/hyperlink" Id="rId25" Target="/academy/book-resources/leadership-framework/" TargetMode="External" /><Relationship Type="http://schemas.openxmlformats.org/officeDocument/2006/relationships/hyperlink" Id="rId20" Target="/academy/book-resources/vision-statement/" TargetMode="External" /><Relationship Type="http://schemas.openxmlformats.org/officeDocument/2006/relationships/hyperlink" Id="rId30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1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/academy/articles/discovering-your-unique-sound-as-a-band-a-musical-journey/" TargetMode="External" /><Relationship Type="http://schemas.openxmlformats.org/officeDocument/2006/relationships/hyperlink" Id="rId27" Target="/academy/articles/so-you-want-to-start-a-band-follow-these-steps/" TargetMode="External" /><Relationship Type="http://schemas.openxmlformats.org/officeDocument/2006/relationships/hyperlink" Id="rId29" Target="/academy/articles/the-art-of-band-organization-mastering-the-business-side/" TargetMode="External" /><Relationship Type="http://schemas.openxmlformats.org/officeDocument/2006/relationships/hyperlink" Id="rId24" Target="/academy/book-resources/band-culture/" TargetMode="External" /><Relationship Type="http://schemas.openxmlformats.org/officeDocument/2006/relationships/hyperlink" Id="rId26" Target="/academy/book-resources/decision-framework/" TargetMode="External" /><Relationship Type="http://schemas.openxmlformats.org/officeDocument/2006/relationships/hyperlink" Id="rId23" Target="/academy/book-resources/goal-setting/" TargetMode="External" /><Relationship Type="http://schemas.openxmlformats.org/officeDocument/2006/relationships/hyperlink" Id="rId25" Target="/academy/book-resources/leadership-framework/" TargetMode="External" /><Relationship Type="http://schemas.openxmlformats.org/officeDocument/2006/relationships/hyperlink" Id="rId20" Target="/academy/book-resources/vision-statement/" TargetMode="External" /><Relationship Type="http://schemas.openxmlformats.org/officeDocument/2006/relationships/hyperlink" Id="rId30" Target="/academy/topics/band-management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1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