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conversation-starters"/>
    <w:p>
      <w:pPr>
        <w:pStyle w:val="Heading1"/>
      </w:pPr>
      <w:r>
        <w:t xml:space="preserve">Conversation Starters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Conversation Starters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Conversation starters for difficult discussions.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Opening lines matter. Hinting is not kindness. Name the topic early so people can respond to reality instead of decoding sighs.</w:t>
      </w:r>
    </w:p>
    <w:bookmarkEnd w:id="9"/>
    <w:bookmarkStart w:id="10" w:name="when-starters-beat-formal-meetings"/>
    <w:p>
      <w:pPr>
        <w:pStyle w:val="Heading2"/>
      </w:pPr>
      <w:r>
        <w:t xml:space="preserve">When starters beat formal meetings</w:t>
      </w:r>
    </w:p>
    <w:p>
      <w:pPr>
        <w:pStyle w:val="FirstParagraph"/>
      </w:pPr>
      <w:r>
        <w:t xml:space="preserve">Use clean openers for early, low-stakes concerns and relationship maintenance; Formal meetings fit repeated patterns, money changes, or exits. Matching the container to the stakes prevents both under- and over-escalation — namely, use clean openers for early, low-stakes concerns and relationship maintenance. Formal meetings fit repeated patterns, money changes, or exits. Matching the container to the stakes prevents both under- and over-escalation.</w:t>
      </w:r>
    </w:p>
    <w:p>
      <w:pPr>
        <w:pStyle w:val="BodyText"/>
      </w:pPr>
      <w:r>
        <w:t xml:space="preserve">If the same starter fails twice, escalate to a scheduled meeting with notes—not a third passive-aggressive joke; namely if the same starter fails twice, escalate to a scheduled meeting with notes—not a third passive-aggressive joke.; hence if the same starter fails twice, escalate to a scheduled meeting with notes—not a third passive-aggressive joke.</w:t>
      </w:r>
    </w:p>
    <w:bookmarkEnd w:id="10"/>
    <w:bookmarkStart w:id="11" w:name="clean-openers"/>
    <w:p>
      <w:pPr>
        <w:pStyle w:val="Heading2"/>
      </w:pPr>
      <w:r>
        <w:t xml:space="preserve">Clean openers</w:t>
      </w:r>
    </w:p>
    <w:p>
      <w:pPr>
        <w:pStyle w:val="FirstParagraph"/>
      </w:pPr>
      <w:r>
        <w:t xml:space="preserve">Name the topic, the impact, and invite their view. “I want to talk about Saturday call times because we lost a hold” beats weeks of atmosphere. Avoid character labels; stick to observable behavior and shared goals — namely, name the topic, the impact, and invite their view. “I want to talk about Saturday call times because we lost a hold” beats weeks of atmosphere. Avoid character labels; stick to observable behavior and shared goals.</w:t>
      </w:r>
    </w:p>
    <w:p>
      <w:pPr>
        <w:pStyle w:val="BodyText"/>
      </w:pPr>
      <w:r>
        <w:t xml:space="preserve">Practice the opener out loud once. Awkward honesty still beats polished avoidance; namely practice the opener out loud once. Awkward honesty still beats polished avoidance.; hence practice the opener out loud once. Awkward honesty still beats polished avoidance.; thus practice the opener out loud once. Awkward honesty still beats polished avoidance.</w:t>
      </w:r>
    </w:p>
    <w:bookmarkEnd w:id="11"/>
    <w:bookmarkStart w:id="12" w:name="if-they-shut-down"/>
    <w:p>
      <w:pPr>
        <w:pStyle w:val="Heading2"/>
      </w:pPr>
      <w:r>
        <w:t xml:space="preserve">If they shut down</w:t>
      </w:r>
    </w:p>
    <w:p>
      <w:pPr>
        <w:pStyle w:val="FirstParagraph"/>
      </w:pPr>
      <w:r>
        <w:t xml:space="preserve">Offer a pause and a specific follow-up time; Chronic shutdown during hard topics is fitness data for collaborative work. You cannot build a band with someone who will never discuss the work of being a band — namely, offer a pause and a specific follow-up time. Chronic shutdown during hard topics is fitness data for collaborative work. You cannot build a band with someone who will never discuss the work of being a band.</w:t>
      </w:r>
    </w:p>
    <w:p>
      <w:pPr>
        <w:pStyle w:val="BodyText"/>
      </w:pPr>
      <w:r>
        <w:t xml:space="preserve">You cannot build a band with someone who will never discuss the work of being a band. Chronic shutdown during hard topics is fitness data for collaborative work; Offer a pause and a specific follow-up time — next, you cannot build a band with someone who will never discuss the work of being a band. Chronic shutdown during hard topics is fitness data for collaborative work. Offer a pause and a specific follow-up time.</w:t>
      </w:r>
    </w:p>
    <w:bookmarkEnd w:id="12"/>
    <w:bookmarkStart w:id="13" w:name="fill-in-openers-we-will-use"/>
    <w:p>
      <w:pPr>
        <w:pStyle w:val="Heading2"/>
      </w:pPr>
      <w:r>
        <w:t xml:space="preserve">Fill-in: Openers we will use</w:t>
      </w:r>
    </w:p>
    <w:p>
      <w:pPr>
        <w:pStyle w:val="FirstParagraph"/>
      </w:pPr>
      <w:r>
        <w:rPr>
          <w:b/>
          <w:bCs/>
        </w:rPr>
        <w:t xml:space="preserve">Topic A opener: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Topic B opener: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Practice one clean opener before the next hard talk.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X713974a2ca8cec3fb19e9d482388bb7ce784c86"/>
    <w:p>
      <w:pPr>
        <w:pStyle w:val="Heading3"/>
      </w:pPr>
      <w:r>
        <w:t xml:space="preserve">When is a conversation starter better than a formal meeting?</w:t>
      </w:r>
    </w:p>
    <w:p>
      <w:pPr>
        <w:pStyle w:val="FirstParagraph"/>
      </w:pPr>
      <w:r>
        <w:t xml:space="preserve">For early, low-stakes concerns and relationship maintenance. Formal meetings fit repeated patterns, money changes, or exits.</w:t>
      </w:r>
    </w:p>
    <w:bookmarkEnd w:id="17"/>
    <w:bookmarkStart w:id="18" w:name="X30c08d7d649de2b7e0c01bc16a5bff71b21766f"/>
    <w:p>
      <w:pPr>
        <w:pStyle w:val="Heading3"/>
      </w:pPr>
      <w:r>
        <w:t xml:space="preserve">How do we avoid sounding passive-aggressive?</w:t>
      </w:r>
    </w:p>
    <w:p>
      <w:pPr>
        <w:pStyle w:val="FirstParagraph"/>
      </w:pPr>
      <w:r>
        <w:t xml:space="preserve">Name the topic in the first sentence, state impact, and invite their view. Hinting is not kindness.</w:t>
      </w:r>
    </w:p>
    <w:bookmarkEnd w:id="18"/>
    <w:bookmarkStart w:id="19" w:name="should-these-talks-happen-after-drinks"/>
    <w:p>
      <w:pPr>
        <w:pStyle w:val="Heading3"/>
      </w:pPr>
      <w:r>
        <w:t xml:space="preserve">Should these talks happen after drinks?</w:t>
      </w:r>
    </w:p>
    <w:p>
      <w:pPr>
        <w:pStyle w:val="FirstParagraph"/>
      </w:pPr>
      <w:r>
        <w:t xml:space="preserve">Prefer sober, private, scheduled time. Alcoholic honesty is not a band system.</w:t>
      </w:r>
    </w:p>
    <w:bookmarkEnd w:id="19"/>
    <w:bookmarkStart w:id="20" w:name="what-if-they-shut-down"/>
    <w:p>
      <w:pPr>
        <w:pStyle w:val="Heading3"/>
      </w:pPr>
      <w:r>
        <w:t xml:space="preserve">What if they shut down?</w:t>
      </w:r>
    </w:p>
    <w:p>
      <w:pPr>
        <w:pStyle w:val="FirstParagraph"/>
      </w:pPr>
      <w:r>
        <w:t xml:space="preserve">Offer a pause and a specific follow-up time. Chronic shutdown during hard topics is a fitness signal for collaborative work.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Difficult conversations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Addressing concerns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Conflict resolution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Harmonizing band relationships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5" Target="/academy/articles/harmonizing-band-relationships-effective-conflict-resolution-strategies/" TargetMode="External" /><Relationship Type="http://schemas.openxmlformats.org/officeDocument/2006/relationships/hyperlink" Id="rId23" Target="/academy/book-resources/addressing-concerns/" TargetMode="External" /><Relationship Type="http://schemas.openxmlformats.org/officeDocument/2006/relationships/hyperlink" Id="rId24" Target="/academy/book-resources/conflict-resolution/" TargetMode="External" /><Relationship Type="http://schemas.openxmlformats.org/officeDocument/2006/relationships/hyperlink" Id="rId22" Target="/academy/book-resources/difficult-conversations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/academy/articles/harmonizing-band-relationships-effective-conflict-resolution-strategies/" TargetMode="External" /><Relationship Type="http://schemas.openxmlformats.org/officeDocument/2006/relationships/hyperlink" Id="rId23" Target="/academy/book-resources/addressing-concerns/" TargetMode="External" /><Relationship Type="http://schemas.openxmlformats.org/officeDocument/2006/relationships/hyperlink" Id="rId24" Target="/academy/book-resources/conflict-resolution/" TargetMode="External" /><Relationship Type="http://schemas.openxmlformats.org/officeDocument/2006/relationships/hyperlink" Id="rId22" Target="/academy/book-resources/difficult-conversations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2026-07-27T17:58:44Z</dcterms:created>
  <dcterms:modified xsi:type="dcterms:W3CDTF">2026-07-27T17:58:44Z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