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conflict-resolution-framework"/>
    <w:p>
      <w:pPr>
        <w:pStyle w:val="Heading1"/>
      </w:pPr>
      <w:r>
        <w:t xml:space="preserve">Conflict Resolution Framework</w:t>
      </w:r>
    </w:p>
    <w:bookmarkStart w:id="9" w:name="how-to-use-this-guide"/>
    <w:p>
      <w:pPr>
        <w:pStyle w:val="Heading2"/>
      </w:pPr>
      <w:r>
        <w:t xml:space="preserve">How to use this guide</w:t>
      </w:r>
    </w:p>
    <w:p>
      <w:pPr>
        <w:pStyle w:val="FirstParagraph"/>
      </w:pPr>
      <w:r>
        <w:t xml:space="preserve">This is a practical Bandmate Academy guide for</w:t>
      </w:r>
      <w:r>
        <w:t xml:space="preserve"> </w:t>
      </w:r>
      <w:r>
        <w:rPr>
          <w:b/>
          <w:bCs/>
        </w:rPr>
        <w:t xml:space="preserve">Conflict Resolution Framework</w:t>
      </w:r>
      <w:r>
        <w:t xml:space="preserve">. Read it with your band, customize fill-in moments, and treat the DOCX as the working copy you mark up together.</w:t>
      </w:r>
    </w:p>
    <w:p>
      <w:pPr>
        <w:pStyle w:val="BodyText"/>
      </w:pPr>
      <w:r>
        <w:t xml:space="preserve">Framework for resolving band conflicts. Work sections in order, write answers for</w:t>
      </w:r>
      <w:r>
        <w:t xml:space="preserve"> </w:t>
      </w:r>
      <w:r>
        <w:rPr>
          <w:i/>
          <w:iCs/>
        </w:rPr>
        <w:t xml:space="preserve">your</w:t>
      </w:r>
      <w:r>
        <w:t xml:space="preserve"> </w:t>
      </w:r>
      <w:r>
        <w:t xml:space="preserve">lineup, and leave with owners and dates.</w:t>
      </w:r>
    </w:p>
    <w:p>
      <w:pPr>
        <w:pStyle w:val="BodyText"/>
      </w:pPr>
      <w:r>
        <w:rPr>
          <w:b/>
          <w:bCs/>
        </w:rPr>
        <w:t xml:space="preserve">Suggested workflow:</w:t>
      </w:r>
      <w:r>
        <w:t xml:space="preserve"> </w:t>
      </w:r>
      <w:r>
        <w:t xml:space="preserve">(1) skim alone, (2) fill in a 30–45 minute band meeting, (3) store next to calendar and money rules, (4) revisit after lineup or goal changes.</w:t>
      </w:r>
    </w:p>
    <w:p>
      <w:pPr>
        <w:pStyle w:val="BodyText"/>
      </w:pPr>
      <w:r>
        <w:t xml:space="preserve">Conflict is information under stress. Resolution is not “winning”—it is restoring a workable way to make music together, or deciding you cannot.</w:t>
      </w:r>
    </w:p>
    <w:bookmarkEnd w:id="9"/>
    <w:bookmarkStart w:id="10" w:name="X82f6c85505e2850dcdb01a26b02135b6d7e72ff"/>
    <w:p>
      <w:pPr>
        <w:pStyle w:val="Heading2"/>
      </w:pPr>
      <w:r>
        <w:t xml:space="preserve">Name the problem without character assassination</w:t>
      </w:r>
    </w:p>
    <w:p>
      <w:pPr>
        <w:pStyle w:val="FirstParagraph"/>
      </w:pPr>
      <w:r>
        <w:t xml:space="preserve">Separate behavior and impact from identity attacks; “You missed three call times and we canceled a hold” is workable. “You’re impossible” is a dead end that guarantees defensiveness — namely, separate behavior and impact from identity attacks. “You missed three call times and we canceled a hold” is workable. “You’re impossible” is a dead end that guarantees defensiveness.</w:t>
      </w:r>
    </w:p>
    <w:p>
      <w:pPr>
        <w:pStyle w:val="BodyText"/>
      </w:pPr>
      <w:r>
        <w:t xml:space="preserve">Write what needs to be different in the next two weeks. Vague processing without behavior change is a holding pattern that burns reliable people — next, write what needs to be different in the next two weeks. Vague processing without behavior change is a holding pattern that burns reliable people.</w:t>
      </w:r>
    </w:p>
    <w:bookmarkEnd w:id="10"/>
    <w:bookmarkStart w:id="11" w:name="a-simple-resolution-path"/>
    <w:p>
      <w:pPr>
        <w:pStyle w:val="Heading2"/>
      </w:pPr>
      <w:r>
        <w:t xml:space="preserve">A simple resolution path</w:t>
      </w:r>
    </w:p>
    <w:p>
      <w:pPr>
        <w:pStyle w:val="FirstParagraph"/>
      </w:pPr>
      <w:r>
        <w:t xml:space="preserve">Start with a private conversation when safety allows, then build a shared understanding of facts before anyone argues preferences or personality. Generate options together, choose one with owners and dates, and schedule a recheck so repair becomes behavior instead of a hopeful mood that fades.</w:t>
      </w:r>
    </w:p>
    <w:p>
      <w:pPr>
        <w:pStyle w:val="BodyText"/>
      </w:pPr>
      <w:r>
        <w:t xml:space="preserve">Skip straight to group pile-ons and you freeze honesty for months after the fight. The path is simple because it is sequential: facts first, options second, decision third, recheck last—every step written where the band can find it later without a private briefing.</w:t>
      </w:r>
    </w:p>
    <w:bookmarkEnd w:id="11"/>
    <w:bookmarkStart w:id="12" w:name="when-resolution-fails"/>
    <w:p>
      <w:pPr>
        <w:pStyle w:val="Heading2"/>
      </w:pPr>
      <w:r>
        <w:t xml:space="preserve">When resolution fails</w:t>
      </w:r>
    </w:p>
    <w:p>
      <w:pPr>
        <w:pStyle w:val="FirstParagraph"/>
      </w:pPr>
      <w:r>
        <w:t xml:space="preserve">If contempt, safety issues, or total denial persist, move toward boundaries or exit; Endless workshops without ownership are not kindness—they are avoidance paid for by the rest of the band — namely, if contempt, safety issues, or total denial persist, move toward boundaries or exit. Endless workshops without ownership are not kindness—they are avoidance paid for by the rest of the band.</w:t>
      </w:r>
    </w:p>
    <w:p>
      <w:pPr>
        <w:pStyle w:val="BodyText"/>
      </w:pPr>
      <w:r>
        <w:t xml:space="preserve">Endless workshops without ownership are not kindness—they are avoidance paid for by the rest of the band. If contempt, safety issues, or total denial persist, move toward boundaries or exit — next, endless workshops without ownership are not kindness—they are avoidance paid for by the rest of the band. If contempt, safety issues, or total denial persist, move toward boundaries or exit.</w:t>
      </w:r>
    </w:p>
    <w:bookmarkEnd w:id="12"/>
    <w:bookmarkStart w:id="13" w:name="fill-in-resolution-agreement"/>
    <w:p>
      <w:pPr>
        <w:pStyle w:val="Heading2"/>
      </w:pPr>
      <w:r>
        <w:t xml:space="preserve">Fill-in: Resolution agreement</w:t>
      </w:r>
    </w:p>
    <w:p>
      <w:pPr>
        <w:pStyle w:val="FirstParagraph"/>
      </w:pPr>
      <w:r>
        <w:rPr>
          <w:b/>
          <w:bCs/>
        </w:rPr>
        <w:t xml:space="preserve">Issue: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Needed change: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Owner: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Check-in date: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If not met:</w:t>
      </w:r>
      <w:r>
        <w:t xml:space="preserve"> </w:t>
      </w:r>
      <w:r>
        <w:t xml:space="preserve">________</w:t>
      </w:r>
    </w:p>
    <w:bookmarkEnd w:id="13"/>
    <w:bookmarkStart w:id="15" w:name="putting-it-into-practice"/>
    <w:p>
      <w:pPr>
        <w:pStyle w:val="Heading2"/>
      </w:pPr>
      <w:r>
        <w:t xml:space="preserve">Putting it into practice</w:t>
      </w:r>
    </w:p>
    <w:p>
      <w:pPr>
        <w:pStyle w:val="FirstParagraph"/>
      </w:pPr>
      <w:r>
        <w:t xml:space="preserve">If a live conflict exists, schedule a private conversation this week with a written outcome.</w:t>
      </w:r>
    </w:p>
    <w:p>
      <w:pPr>
        <w:pStyle w:val="BodyText"/>
      </w:pPr>
      <w:r>
        <w:t xml:space="preserve">Reopen this filled guide after lineup changes and before busy seasons. Keep profiles current so opportunities can convert, and use the</w:t>
      </w:r>
      <w:r>
        <w:t xml:space="preserve"> </w:t>
      </w:r>
      <w:hyperlink r:id="rId14">
        <w:r>
          <w:rPr>
            <w:rStyle w:val="Hyperlink"/>
          </w:rPr>
          <w:t xml:space="preserve">directory</w:t>
        </w:r>
      </w:hyperlink>
      <w:r>
        <w:t xml:space="preserve"> </w:t>
      </w:r>
      <w:r>
        <w:t xml:space="preserve">when the next step is finding people.</w:t>
      </w:r>
    </w:p>
    <w:bookmarkEnd w:id="15"/>
    <w:bookmarkStart w:id="16" w:name="a-thirty-day-implementation-sprint"/>
    <w:p>
      <w:pPr>
        <w:pStyle w:val="Heading2"/>
      </w:pPr>
      <w:r>
        <w:t xml:space="preserve">A thirty-day implementation sprint</w:t>
      </w:r>
    </w:p>
    <w:p>
      <w:pPr>
        <w:pStyle w:val="FirstParagraph"/>
      </w:pPr>
      <w:r>
        <w:rPr>
          <w:b/>
          <w:bCs/>
        </w:rPr>
        <w:t xml:space="preserve">Week one:</w:t>
      </w:r>
      <w:r>
        <w:t xml:space="preserve"> </w:t>
      </w:r>
      <w:r>
        <w:t xml:space="preserve">read alone and mark real disagreements.</w:t>
      </w:r>
      <w:r>
        <w:t xml:space="preserve"> </w:t>
      </w:r>
      <w:r>
        <w:rPr>
          <w:b/>
          <w:bCs/>
        </w:rPr>
        <w:t xml:space="preserve">Week two:</w:t>
      </w:r>
      <w:r>
        <w:t xml:space="preserve"> </w:t>
      </w:r>
      <w:r>
        <w:t xml:space="preserve">45-minute meeting—fill blanks, assign owners.</w:t>
      </w:r>
      <w:r>
        <w:t xml:space="preserve"> </w:t>
      </w:r>
      <w:r>
        <w:rPr>
          <w:b/>
          <w:bCs/>
        </w:rPr>
        <w:t xml:space="preserve">Week three:</w:t>
      </w:r>
      <w:r>
        <w:t xml:space="preserve"> </w:t>
      </w:r>
      <w:r>
        <w:t xml:space="preserve">use the rules on real rehearsals or outreach.</w:t>
      </w:r>
      <w:r>
        <w:t xml:space="preserve"> </w:t>
      </w:r>
      <w:r>
        <w:rPr>
          <w:b/>
          <w:bCs/>
        </w:rPr>
        <w:t xml:space="preserve">Week four:</w:t>
      </w:r>
      <w:r>
        <w:t xml:space="preserve"> </w:t>
      </w:r>
      <w:r>
        <w:t xml:space="preserve">amend one page and set the next quarterly revisit.</w:t>
      </w:r>
    </w:p>
    <w:bookmarkEnd w:id="16"/>
    <w:bookmarkStart w:id="23" w:name="faq"/>
    <w:p>
      <w:pPr>
        <w:pStyle w:val="Heading2"/>
      </w:pPr>
      <w:r>
        <w:t xml:space="preserve">FAQ</w:t>
      </w:r>
    </w:p>
    <w:bookmarkStart w:id="17" w:name="X4530cc968883dbd73fc9d00a9239ab4cc4c4071"/>
    <w:p>
      <w:pPr>
        <w:pStyle w:val="Heading3"/>
      </w:pPr>
      <w:r>
        <w:t xml:space="preserve">When should we use this framework instead of</w:t>
      </w:r>
      <w:r>
        <w:t xml:space="preserve"> </w:t>
      </w:r>
      <w:r>
        <w:t xml:space="preserve">“just talking it out”</w:t>
      </w:r>
      <w:r>
        <w:t xml:space="preserve">?</w:t>
      </w:r>
    </w:p>
    <w:p>
      <w:pPr>
        <w:pStyle w:val="FirstParagraph"/>
      </w:pPr>
      <w:r>
        <w:t xml:space="preserve">Use the structured steps when the issue has repeated, emotions are high, or past freeform talks went in circles. A planned opening, equal airtime, and written next steps prevent the conversation from becoming another rehearsal argument.</w:t>
      </w:r>
    </w:p>
    <w:bookmarkEnd w:id="17"/>
    <w:bookmarkStart w:id="18" w:name="X9098a7a8183b4c8e52eb40831754d3ba3c3411b"/>
    <w:p>
      <w:pPr>
        <w:pStyle w:val="Heading3"/>
      </w:pPr>
      <w:r>
        <w:t xml:space="preserve">What if the other person gets defensive or shuts down mid-conversation?</w:t>
      </w:r>
    </w:p>
    <w:p>
      <w:pPr>
        <w:pStyle w:val="FirstParagraph"/>
      </w:pPr>
      <w:r>
        <w:t xml:space="preserve">Pause, name the heat without escalating (</w:t>
      </w:r>
      <w:r>
        <w:t xml:space="preserve">“I can see this is hard to hear”</w:t>
      </w:r>
      <w:r>
        <w:t xml:space="preserve">), switch to questions about their experience, and take a break if either of you is too activated. Reschedule within a few days rather than abandoning the issue or texting it out.</w:t>
      </w:r>
    </w:p>
    <w:bookmarkEnd w:id="18"/>
    <w:bookmarkStart w:id="19" w:name="Xc1e5a7a643730f6bc9ebc08714271928d6e0ff9"/>
    <w:p>
      <w:pPr>
        <w:pStyle w:val="Heading3"/>
      </w:pPr>
      <w:r>
        <w:t xml:space="preserve">How do we know the conflict is resolved versus just postponed?</w:t>
      </w:r>
    </w:p>
    <w:p>
      <w:pPr>
        <w:pStyle w:val="FirstParagraph"/>
      </w:pPr>
      <w:r>
        <w:t xml:space="preserve">You have a specific agreement both can restate, named owners and dates, and a check-in on the calendar. If the same behavior returns with no review, treat it as unfinished—not</w:t>
      </w:r>
      <w:r>
        <w:t xml:space="preserve"> </w:t>
      </w:r>
      <w:r>
        <w:t xml:space="preserve">“we already talked about it.”</w:t>
      </w:r>
    </w:p>
    <w:bookmarkEnd w:id="19"/>
    <w:bookmarkStart w:id="22" w:name="Xcc4cadbdf9ca582a026f8ea892a4073ea778be5"/>
    <w:p>
      <w:pPr>
        <w:pStyle w:val="Heading3"/>
      </w:pPr>
      <w:r>
        <w:t xml:space="preserve">When should we stop two-person resolution and bring in a mediator or exit path?</w:t>
      </w:r>
    </w:p>
    <w:p>
      <w:pPr>
        <w:pStyle w:val="FirstParagraph"/>
      </w:pPr>
      <w:r>
        <w:t xml:space="preserve">Escalate when you’ve tried this process more than once, trust is broken, power is badly imbalanced, or safety is in question. Use the</w:t>
      </w:r>
      <w:r>
        <w:t xml:space="preserve"> </w:t>
      </w:r>
      <w:hyperlink r:id="rId20">
        <w:r>
          <w:rPr>
            <w:rStyle w:val="Hyperlink"/>
          </w:rPr>
          <w:t xml:space="preserve">conflict mediation guide</w:t>
        </w:r>
      </w:hyperlink>
      <w:r>
        <w:t xml:space="preserve"> </w:t>
      </w:r>
      <w:r>
        <w:t xml:space="preserve">for a neutral third party; if fit is gone, plan a respectful</w:t>
      </w:r>
      <w:r>
        <w:t xml:space="preserve"> </w:t>
      </w:r>
      <w:hyperlink r:id="rId21">
        <w:r>
          <w:rPr>
            <w:rStyle w:val="Hyperlink"/>
          </w:rPr>
          <w:t xml:space="preserve">departure conversation</w:t>
        </w:r>
      </w:hyperlink>
      <w:r>
        <w:t xml:space="preserve">. This guide is educational, not legal advice.</w:t>
      </w:r>
    </w:p>
    <w:bookmarkEnd w:id="22"/>
    <w:bookmarkEnd w:id="23"/>
    <w:bookmarkStart w:id="31" w:name="related-guides"/>
    <w:p>
      <w:pPr>
        <w:pStyle w:val="Heading2"/>
      </w:pPr>
      <w:r>
        <w:t xml:space="preserve">Related guides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Conflict mediation guide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Difficult conversations guide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Conflict resolution strategies</w:t>
        </w:r>
      </w:hyperlink>
    </w:p>
    <w:p>
      <w:pPr>
        <w:pStyle w:val="Compact"/>
        <w:numPr>
          <w:ilvl w:val="0"/>
          <w:numId w:val="1001"/>
        </w:numPr>
      </w:pPr>
      <w:hyperlink r:id="rId26">
        <w:r>
          <w:rPr>
            <w:rStyle w:val="Hyperlink"/>
          </w:rPr>
          <w:t xml:space="preserve">Working in harmony</w:t>
        </w:r>
      </w:hyperlink>
    </w:p>
    <w:p>
      <w:pPr>
        <w:pStyle w:val="Compact"/>
        <w:numPr>
          <w:ilvl w:val="0"/>
          <w:numId w:val="1001"/>
        </w:numPr>
      </w:pPr>
      <w:hyperlink r:id="rId27">
        <w:r>
          <w:rPr>
            <w:rStyle w:val="Hyperlink"/>
          </w:rPr>
          <w:t xml:space="preserve">Tips for dealing with toxic personalities</w:t>
        </w:r>
      </w:hyperlink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Departure conversation guide</w:t>
        </w:r>
      </w:hyperlink>
    </w:p>
    <w:p>
      <w:pPr>
        <w:pStyle w:val="Compact"/>
        <w:numPr>
          <w:ilvl w:val="0"/>
          <w:numId w:val="1001"/>
        </w:numPr>
      </w:pPr>
      <w:hyperlink r:id="rId28">
        <w:r>
          <w:rPr>
            <w:rStyle w:val="Hyperlink"/>
          </w:rPr>
          <w:t xml:space="preserve">Band relationships topic</w:t>
        </w:r>
      </w:hyperlink>
    </w:p>
    <w:p>
      <w:pPr>
        <w:pStyle w:val="Compact"/>
        <w:numPr>
          <w:ilvl w:val="0"/>
          <w:numId w:val="1001"/>
        </w:numPr>
      </w:pPr>
      <w:hyperlink r:id="rId29">
        <w:r>
          <w:rPr>
            <w:rStyle w:val="Hyperlink"/>
          </w:rPr>
          <w:t xml:space="preserve">Band contract template</w:t>
        </w:r>
      </w:hyperlink>
    </w:p>
    <w:p>
      <w:pPr>
        <w:pStyle w:val="Compact"/>
        <w:numPr>
          <w:ilvl w:val="0"/>
          <w:numId w:val="1001"/>
        </w:numPr>
      </w:pPr>
      <w:hyperlink r:id="rId30">
        <w:r>
          <w:rPr>
            <w:rStyle w:val="Hyperlink"/>
          </w:rPr>
          <w:t xml:space="preserve">Free Bandmate account</w:t>
        </w:r>
      </w:hyperlink>
    </w:p>
    <w:bookmarkEnd w:id="31"/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9" Target="/academy/articles/band-contract-template/" TargetMode="External" /><Relationship Type="http://schemas.openxmlformats.org/officeDocument/2006/relationships/hyperlink" Id="rId25" Target="/academy/articles/harmonizing-band-relationships-effective-conflict-resolution-strategies/" TargetMode="External" /><Relationship Type="http://schemas.openxmlformats.org/officeDocument/2006/relationships/hyperlink" Id="rId27" Target="/academy/articles/tips-for-dealing-with-toxic-personalities-in-your-band/" TargetMode="External" /><Relationship Type="http://schemas.openxmlformats.org/officeDocument/2006/relationships/hyperlink" Id="rId26" Target="/academy/articles/working-in-harmony-tips-for-bands-to-collaborate-as-a-strong-team/" TargetMode="External" /><Relationship Type="http://schemas.openxmlformats.org/officeDocument/2006/relationships/hyperlink" Id="rId20" Target="/academy/book-resources/conflict-mediation/" TargetMode="External" /><Relationship Type="http://schemas.openxmlformats.org/officeDocument/2006/relationships/hyperlink" Id="rId21" Target="/academy/book-resources/departure-conversation/" TargetMode="External" /><Relationship Type="http://schemas.openxmlformats.org/officeDocument/2006/relationships/hyperlink" Id="rId24" Target="/academy/book-resources/difficult-conversations/" TargetMode="External" /><Relationship Type="http://schemas.openxmlformats.org/officeDocument/2006/relationships/hyperlink" Id="rId28" Target="/academy/topics/band-relationships/" TargetMode="External" /><Relationship Type="http://schemas.openxmlformats.org/officeDocument/2006/relationships/hyperlink" Id="rId14" Target="/directory/" TargetMode="External" /><Relationship Type="http://schemas.openxmlformats.org/officeDocument/2006/relationships/hyperlink" Id="rId30" Target="https://app.bandmate.io/auth/signu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9" Target="/academy/articles/band-contract-template/" TargetMode="External" /><Relationship Type="http://schemas.openxmlformats.org/officeDocument/2006/relationships/hyperlink" Id="rId25" Target="/academy/articles/harmonizing-band-relationships-effective-conflict-resolution-strategies/" TargetMode="External" /><Relationship Type="http://schemas.openxmlformats.org/officeDocument/2006/relationships/hyperlink" Id="rId27" Target="/academy/articles/tips-for-dealing-with-toxic-personalities-in-your-band/" TargetMode="External" /><Relationship Type="http://schemas.openxmlformats.org/officeDocument/2006/relationships/hyperlink" Id="rId26" Target="/academy/articles/working-in-harmony-tips-for-bands-to-collaborate-as-a-strong-team/" TargetMode="External" /><Relationship Type="http://schemas.openxmlformats.org/officeDocument/2006/relationships/hyperlink" Id="rId20" Target="/academy/book-resources/conflict-mediation/" TargetMode="External" /><Relationship Type="http://schemas.openxmlformats.org/officeDocument/2006/relationships/hyperlink" Id="rId21" Target="/academy/book-resources/departure-conversation/" TargetMode="External" /><Relationship Type="http://schemas.openxmlformats.org/officeDocument/2006/relationships/hyperlink" Id="rId24" Target="/academy/book-resources/difficult-conversations/" TargetMode="External" /><Relationship Type="http://schemas.openxmlformats.org/officeDocument/2006/relationships/hyperlink" Id="rId28" Target="/academy/topics/band-relationships/" TargetMode="External" /><Relationship Type="http://schemas.openxmlformats.org/officeDocument/2006/relationships/hyperlink" Id="rId14" Target="/directory/" TargetMode="External" /><Relationship Type="http://schemas.openxmlformats.org/officeDocument/2006/relationships/hyperlink" Id="rId30" Target="https://app.bandmate.io/auth/signu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2026-07-27T18:01:20Z</dcterms:created>
  <dcterms:modified xsi:type="dcterms:W3CDTF">2026-07-27T18:01:20Z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