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bandmate-evaluation-framework"/>
    <w:p>
      <w:pPr>
        <w:pStyle w:val="Heading1"/>
      </w:pPr>
      <w:r>
        <w:t xml:space="preserve">Bandmate Evaluation Framework</w:t>
      </w:r>
    </w:p>
    <w:bookmarkStart w:id="9" w:name="how-to-use-this-guide"/>
    <w:p>
      <w:pPr>
        <w:pStyle w:val="Heading2"/>
      </w:pPr>
      <w:r>
        <w:t xml:space="preserve">How to use this guide</w:t>
      </w:r>
    </w:p>
    <w:p>
      <w:pPr>
        <w:pStyle w:val="FirstParagraph"/>
      </w:pPr>
      <w:r>
        <w:t xml:space="preserve">This is a practical Bandmate Academy guide for</w:t>
      </w:r>
      <w:r>
        <w:t xml:space="preserve"> </w:t>
      </w:r>
      <w:r>
        <w:rPr>
          <w:b/>
          <w:bCs/>
        </w:rPr>
        <w:t xml:space="preserve">Bandmate Evaluation Framework</w:t>
      </w:r>
      <w:r>
        <w:t xml:space="preserve">. Read it with your band, customize fill-in moments, and treat the DOCX as the working copy you mark up together.</w:t>
      </w:r>
    </w:p>
    <w:p>
      <w:pPr>
        <w:pStyle w:val="BodyText"/>
      </w:pPr>
      <w:r>
        <w:t xml:space="preserve">Framework for evaluating potential bandmates. Work sections in order, write answers for</w:t>
      </w:r>
      <w:r>
        <w:t xml:space="preserve"> </w:t>
      </w:r>
      <w:r>
        <w:rPr>
          <w:i/>
          <w:iCs/>
        </w:rPr>
        <w:t xml:space="preserve">your</w:t>
      </w:r>
      <w:r>
        <w:t xml:space="preserve"> </w:t>
      </w:r>
      <w:r>
        <w:t xml:space="preserve">lineup, and leave with owners and dates.</w:t>
      </w:r>
    </w:p>
    <w:p>
      <w:pPr>
        <w:pStyle w:val="BodyText"/>
      </w:pPr>
      <w:r>
        <w:rPr>
          <w:b/>
          <w:bCs/>
        </w:rPr>
        <w:t xml:space="preserve">Suggested workflow:</w:t>
      </w:r>
      <w:r>
        <w:t xml:space="preserve"> </w:t>
      </w:r>
      <w:r>
        <w:t xml:space="preserve">(1) skim alone, (2) fill in a 30–45 minute band meeting, (3) store next to calendar and money rules, (4) revisit after lineup or goal changes.</w:t>
      </w:r>
    </w:p>
    <w:p>
      <w:pPr>
        <w:pStyle w:val="BodyText"/>
      </w:pPr>
      <w:r>
        <w:t xml:space="preserve">After auditions or trials, “they’re fine?” is not a decision. A shared evaluation framework prevents lobby wars and forced hires into factions.</w:t>
      </w:r>
    </w:p>
    <w:bookmarkEnd w:id="9"/>
    <w:bookmarkStart w:id="10" w:name="score-beyond-chops"/>
    <w:p>
      <w:pPr>
        <w:pStyle w:val="Heading2"/>
      </w:pPr>
      <w:r>
        <w:t xml:space="preserve">Score beyond chops</w:t>
      </w:r>
    </w:p>
    <w:p>
      <w:pPr>
        <w:pStyle w:val="FirstParagraph"/>
      </w:pPr>
      <w:r>
        <w:t xml:space="preserve">Include communication, prep, stage presence, reliability, and chemistry with the existing group; Technical ability without logistics still sinks gigs and friendships. Write scores the same day while the room is fresh in memory — namely, include communication, prep, stage presence, reliability, and chemistry with the existing group. Technical ability without logistics still sinks gigs and friendships. Write scores the same day while the room is fresh in memory.</w:t>
      </w:r>
    </w:p>
    <w:p>
      <w:pPr>
        <w:pStyle w:val="BodyText"/>
      </w:pPr>
      <w:r>
        <w:t xml:space="preserve">If someone is a ten musically and a two on reliability, name that tradeoff out loud before emotion invents a story — next, if someone is a ten musically and a two on reliability, name that tradeoff out loud before emotion invents a story.</w:t>
      </w:r>
    </w:p>
    <w:bookmarkEnd w:id="10"/>
    <w:bookmarkStart w:id="11" w:name="weight-by-domain"/>
    <w:p>
      <w:pPr>
        <w:pStyle w:val="Heading2"/>
      </w:pPr>
      <w:r>
        <w:t xml:space="preserve">Weight by domain</w:t>
      </w:r>
    </w:p>
    <w:p>
      <w:pPr>
        <w:pStyle w:val="FirstParagraph"/>
      </w:pPr>
      <w:r>
        <w:t xml:space="preserve">Music leads can own musical fit; the person running ops can own reliability; Equal votes on unequal information create politics disguised as democracy. Decide the weighting before scoring, not after you see who “won.” — namely, music leads can own musical fit; the person running ops can own reliability. Equal votes on unequal information create politics disguised as democracy. Decide the weighting before scoring, not after you see who “won.”.</w:t>
      </w:r>
    </w:p>
    <w:p>
      <w:pPr>
        <w:pStyle w:val="BodyText"/>
      </w:pPr>
      <w:r>
        <w:t xml:space="preserve">Decide the weighting before scoring, not after you see who “won.” Equal votes on unequal information create politics disguised as democracy. Music leads can own musical fit; the person running ops can own reliability — next, decide the weighting before scoring, not after you see who “won.” Equal votes on unequal information create politics disguised as democracy. Music leads can own musical fit; the person running ops can own reliability.</w:t>
      </w:r>
    </w:p>
    <w:bookmarkEnd w:id="11"/>
    <w:bookmarkStart w:id="12" w:name="trials-need-ends"/>
    <w:p>
      <w:pPr>
        <w:pStyle w:val="Heading2"/>
      </w:pPr>
      <w:r>
        <w:t xml:space="preserve">Trials need ends</w:t>
      </w:r>
    </w:p>
    <w:p>
      <w:pPr>
        <w:pStyle w:val="FirstParagraph"/>
      </w:pPr>
      <w:r>
        <w:t xml:space="preserve">Four to eight weeks of real rehearsals and shows is usually enough; Infinite trials are unpaid limbo. Write trial criteria on day one and review on a calendar date everyone can see — namely, four to eight weeks of real rehearsals and shows is usually enough. Infinite trials are unpaid limbo. Write trial criteria on day one and review on a calendar date everyone can see.</w:t>
      </w:r>
    </w:p>
    <w:p>
      <w:pPr>
        <w:pStyle w:val="BodyText"/>
      </w:pPr>
      <w:r>
        <w:t xml:space="preserve">If the core group is deeply split, keep looking; Forced hires create permanent factions that show up as “creative differences” later — next, if the core group is deeply split, keep looking. Forced hires create permanent factions that show up as “creative differences” later.</w:t>
      </w:r>
    </w:p>
    <w:bookmarkEnd w:id="12"/>
    <w:bookmarkStart w:id="13" w:name="fill-in-evaluation-summary"/>
    <w:p>
      <w:pPr>
        <w:pStyle w:val="Heading2"/>
      </w:pPr>
      <w:r>
        <w:t xml:space="preserve">Fill-in: Evaluation summary</w:t>
      </w:r>
    </w:p>
    <w:p>
      <w:pPr>
        <w:pStyle w:val="FirstParagraph"/>
      </w:pPr>
      <w:r>
        <w:rPr>
          <w:b/>
          <w:bCs/>
        </w:rPr>
        <w:t xml:space="preserve">Candidate:</w:t>
      </w:r>
      <w:r>
        <w:t xml:space="preserve"> </w:t>
      </w:r>
      <w:r>
        <w:t xml:space="preserve">________</w:t>
      </w:r>
    </w:p>
    <w:p>
      <w:pPr>
        <w:pStyle w:val="BodyText"/>
      </w:pPr>
      <w:r>
        <w:rPr>
          <w:b/>
          <w:bCs/>
        </w:rPr>
        <w:t xml:space="preserve">Musical fit:</w:t>
      </w:r>
      <w:r>
        <w:t xml:space="preserve"> </w:t>
      </w:r>
      <w:r>
        <w:t xml:space="preserve">________</w:t>
      </w:r>
    </w:p>
    <w:p>
      <w:pPr>
        <w:pStyle w:val="BodyText"/>
      </w:pPr>
      <w:r>
        <w:rPr>
          <w:b/>
          <w:bCs/>
        </w:rPr>
        <w:t xml:space="preserve">Ops/reliability:</w:t>
      </w:r>
      <w:r>
        <w:t xml:space="preserve"> </w:t>
      </w:r>
      <w:r>
        <w:t xml:space="preserve">________</w:t>
      </w:r>
    </w:p>
    <w:p>
      <w:pPr>
        <w:pStyle w:val="BodyText"/>
      </w:pPr>
      <w:r>
        <w:rPr>
          <w:b/>
          <w:bCs/>
        </w:rPr>
        <w:t xml:space="preserve">Chemistry:</w:t>
      </w:r>
      <w:r>
        <w:t xml:space="preserve"> </w:t>
      </w:r>
      <w:r>
        <w:t xml:space="preserve">________</w:t>
      </w:r>
    </w:p>
    <w:p>
      <w:pPr>
        <w:pStyle w:val="BodyText"/>
      </w:pPr>
      <w:r>
        <w:rPr>
          <w:b/>
          <w:bCs/>
        </w:rPr>
        <w:t xml:space="preserve">Decision:</w:t>
      </w:r>
      <w:r>
        <w:t xml:space="preserve"> </w:t>
      </w:r>
      <w:r>
        <w:t xml:space="preserve">________</w:t>
      </w:r>
    </w:p>
    <w:p>
      <w:pPr>
        <w:pStyle w:val="BodyText"/>
      </w:pPr>
      <w:r>
        <w:rPr>
          <w:b/>
          <w:bCs/>
        </w:rPr>
        <w:t xml:space="preserve">If no, feedback to send:</w:t>
      </w:r>
      <w:r>
        <w:t xml:space="preserve"> </w:t>
      </w:r>
      <w:r>
        <w:t xml:space="preserve">________</w:t>
      </w:r>
    </w:p>
    <w:bookmarkEnd w:id="13"/>
    <w:bookmarkStart w:id="15" w:name="putting-it-into-practice"/>
    <w:p>
      <w:pPr>
        <w:pStyle w:val="Heading2"/>
      </w:pPr>
      <w:r>
        <w:t xml:space="preserve">Putting it into practice</w:t>
      </w:r>
    </w:p>
    <w:p>
      <w:pPr>
        <w:pStyle w:val="FirstParagraph"/>
      </w:pPr>
      <w:r>
        <w:t xml:space="preserve">Score every active candidate this week and decide in writing with a date.</w:t>
      </w:r>
    </w:p>
    <w:p>
      <w:pPr>
        <w:pStyle w:val="BodyText"/>
      </w:pPr>
      <w:r>
        <w:t xml:space="preserve">Reopen this filled guide after lineup changes and before busy seasons. Keep profiles current so opportunities can convert, and use the</w:t>
      </w:r>
      <w:r>
        <w:t xml:space="preserve"> </w:t>
      </w:r>
      <w:hyperlink r:id="rId14">
        <w:r>
          <w:rPr>
            <w:rStyle w:val="Hyperlink"/>
          </w:rPr>
          <w:t xml:space="preserve">directory</w:t>
        </w:r>
      </w:hyperlink>
      <w:r>
        <w:t xml:space="preserve"> </w:t>
      </w:r>
      <w:r>
        <w:t xml:space="preserve">when the next step is finding people.</w:t>
      </w:r>
    </w:p>
    <w:bookmarkEnd w:id="15"/>
    <w:bookmarkStart w:id="16" w:name="a-thirty-day-implementation-sprint"/>
    <w:p>
      <w:pPr>
        <w:pStyle w:val="Heading2"/>
      </w:pPr>
      <w:r>
        <w:t xml:space="preserve">A thirty-day implementation sprint</w:t>
      </w:r>
    </w:p>
    <w:p>
      <w:pPr>
        <w:pStyle w:val="FirstParagraph"/>
      </w:pPr>
      <w:r>
        <w:rPr>
          <w:b/>
          <w:bCs/>
        </w:rPr>
        <w:t xml:space="preserve">Week one:</w:t>
      </w:r>
      <w:r>
        <w:t xml:space="preserve"> </w:t>
      </w:r>
      <w:r>
        <w:t xml:space="preserve">read alone and mark real disagreements.</w:t>
      </w:r>
      <w:r>
        <w:t xml:space="preserve"> </w:t>
      </w:r>
      <w:r>
        <w:rPr>
          <w:b/>
          <w:bCs/>
        </w:rPr>
        <w:t xml:space="preserve">Week two:</w:t>
      </w:r>
      <w:r>
        <w:t xml:space="preserve"> </w:t>
      </w:r>
      <w:r>
        <w:t xml:space="preserve">45-minute meeting—fill blanks, assign owners.</w:t>
      </w:r>
      <w:r>
        <w:t xml:space="preserve"> </w:t>
      </w:r>
      <w:r>
        <w:rPr>
          <w:b/>
          <w:bCs/>
        </w:rPr>
        <w:t xml:space="preserve">Week three:</w:t>
      </w:r>
      <w:r>
        <w:t xml:space="preserve"> </w:t>
      </w:r>
      <w:r>
        <w:t xml:space="preserve">use the rules on real rehearsals or outreach.</w:t>
      </w:r>
      <w:r>
        <w:t xml:space="preserve"> </w:t>
      </w:r>
      <w:r>
        <w:rPr>
          <w:b/>
          <w:bCs/>
        </w:rPr>
        <w:t xml:space="preserve">Week four:</w:t>
      </w:r>
      <w:r>
        <w:t xml:space="preserve"> </w:t>
      </w:r>
      <w:r>
        <w:t xml:space="preserve">amend one page and set the next quarterly revisit.</w:t>
      </w:r>
    </w:p>
    <w:bookmarkEnd w:id="16"/>
    <w:bookmarkStart w:id="21" w:name="faq"/>
    <w:p>
      <w:pPr>
        <w:pStyle w:val="Heading2"/>
      </w:pPr>
      <w:r>
        <w:t xml:space="preserve">FAQ</w:t>
      </w:r>
    </w:p>
    <w:bookmarkStart w:id="17" w:name="what-should-we-score-beyond-chops"/>
    <w:p>
      <w:pPr>
        <w:pStyle w:val="Heading3"/>
      </w:pPr>
      <w:r>
        <w:t xml:space="preserve">What should we score beyond chops?</w:t>
      </w:r>
    </w:p>
    <w:p>
      <w:pPr>
        <w:pStyle w:val="FirstParagraph"/>
      </w:pPr>
      <w:r>
        <w:t xml:space="preserve">Communication, prep, stage presence, reliability, and fit with the existing chemistry. Technical ability without logistics still sinks gigs.</w:t>
      </w:r>
    </w:p>
    <w:bookmarkEnd w:id="17"/>
    <w:bookmarkStart w:id="18" w:name="should-every-members-score-weigh-equally"/>
    <w:p>
      <w:pPr>
        <w:pStyle w:val="Heading3"/>
      </w:pPr>
      <w:r>
        <w:t xml:space="preserve">Should every member’s score weigh equally?</w:t>
      </w:r>
    </w:p>
    <w:p>
      <w:pPr>
        <w:pStyle w:val="FirstParagraph"/>
      </w:pPr>
      <w:r>
        <w:t xml:space="preserve">Weight by domain: music leads can own musical fit; the person running ops can own reliability. Equal votes on unequal information create politics.</w:t>
      </w:r>
    </w:p>
    <w:bookmarkEnd w:id="18"/>
    <w:bookmarkStart w:id="19" w:name="how-long-should-a-trial-period-last"/>
    <w:p>
      <w:pPr>
        <w:pStyle w:val="Heading3"/>
      </w:pPr>
      <w:r>
        <w:t xml:space="preserve">How long should a trial period last?</w:t>
      </w:r>
    </w:p>
    <w:p>
      <w:pPr>
        <w:pStyle w:val="FirstParagraph"/>
      </w:pPr>
      <w:r>
        <w:t xml:space="preserve">Enough shows or rehearsals to see stress behavior—often four to eight weeks. Infinite trials are unpaid limbo.</w:t>
      </w:r>
    </w:p>
    <w:bookmarkEnd w:id="19"/>
    <w:bookmarkStart w:id="20" w:name="what-if-scores-split-the-band"/>
    <w:p>
      <w:pPr>
        <w:pStyle w:val="Heading3"/>
      </w:pPr>
      <w:r>
        <w:t xml:space="preserve">What if scores split the band?</w:t>
      </w:r>
    </w:p>
    <w:p>
      <w:pPr>
        <w:pStyle w:val="FirstParagraph"/>
      </w:pPr>
      <w:r>
        <w:t xml:space="preserve">Do not force a hire into a faction. Keep looking or redefine the role. Split hires rarely heal themselves.</w:t>
      </w:r>
    </w:p>
    <w:bookmarkEnd w:id="20"/>
    <w:bookmarkEnd w:id="21"/>
    <w:bookmarkStart w:id="27" w:name="related-guides"/>
    <w:p>
      <w:pPr>
        <w:pStyle w:val="Heading2"/>
      </w:pPr>
      <w:r>
        <w:t xml:space="preserve">Related guides</w:t>
      </w:r>
    </w:p>
    <w:p>
      <w:pPr>
        <w:pStyle w:val="Compact"/>
        <w:numPr>
          <w:ilvl w:val="0"/>
          <w:numId w:val="1001"/>
        </w:numPr>
      </w:pPr>
      <w:hyperlink r:id="rId22">
        <w:r>
          <w:rPr>
            <w:rStyle w:val="Hyperlink"/>
          </w:rPr>
          <w:t xml:space="preserve">Audition structure</w:t>
        </w:r>
      </w:hyperlink>
    </w:p>
    <w:p>
      <w:pPr>
        <w:pStyle w:val="Compact"/>
        <w:numPr>
          <w:ilvl w:val="0"/>
          <w:numId w:val="1001"/>
        </w:numPr>
      </w:pPr>
      <w:hyperlink r:id="rId23">
        <w:r>
          <w:rPr>
            <w:rStyle w:val="Hyperlink"/>
          </w:rPr>
          <w:t xml:space="preserve">Observation checklist</w:t>
        </w:r>
      </w:hyperlink>
    </w:p>
    <w:p>
      <w:pPr>
        <w:pStyle w:val="Compact"/>
        <w:numPr>
          <w:ilvl w:val="0"/>
          <w:numId w:val="1001"/>
        </w:numPr>
      </w:pPr>
      <w:hyperlink r:id="rId24">
        <w:r>
          <w:rPr>
            <w:rStyle w:val="Hyperlink"/>
          </w:rPr>
          <w:t xml:space="preserve">The perfect audition</w:t>
        </w:r>
      </w:hyperlink>
    </w:p>
    <w:p>
      <w:pPr>
        <w:pStyle w:val="Compact"/>
        <w:numPr>
          <w:ilvl w:val="0"/>
          <w:numId w:val="1001"/>
        </w:numPr>
      </w:pPr>
      <w:hyperlink r:id="rId25">
        <w:r>
          <w:rPr>
            <w:rStyle w:val="Hyperlink"/>
          </w:rPr>
          <w:t xml:space="preserve">Find band members</w:t>
        </w:r>
      </w:hyperlink>
    </w:p>
    <w:p>
      <w:pPr>
        <w:pStyle w:val="Compact"/>
        <w:numPr>
          <w:ilvl w:val="0"/>
          <w:numId w:val="1001"/>
        </w:numPr>
      </w:pPr>
      <w:hyperlink r:id="rId26">
        <w:r>
          <w:rPr>
            <w:rStyle w:val="Hyperlink"/>
          </w:rPr>
          <w:t xml:space="preserve">Band relationships topic</w:t>
        </w:r>
      </w:hyperlink>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academy/articles/find-band-members/" TargetMode="External" /><Relationship Type="http://schemas.openxmlformats.org/officeDocument/2006/relationships/hyperlink" Id="rId24" Target="/academy/articles/the-perfect-audition-how-to-find-the-ideal-band-member/" TargetMode="External" /><Relationship Type="http://schemas.openxmlformats.org/officeDocument/2006/relationships/hyperlink" Id="rId22" Target="/academy/book-resources/audition-structure/" TargetMode="External" /><Relationship Type="http://schemas.openxmlformats.org/officeDocument/2006/relationships/hyperlink" Id="rId23" Target="/academy/book-resources/observation-checklist/" TargetMode="External" /><Relationship Type="http://schemas.openxmlformats.org/officeDocument/2006/relationships/hyperlink" Id="rId26" Target="/academy/topics/band-relationships/" TargetMode="External" /><Relationship Type="http://schemas.openxmlformats.org/officeDocument/2006/relationships/hyperlink" Id="rId14" Target="/directory/" TargetMode="External" /></Relationships>
</file>

<file path=word/_rels/footnotes.xml.rels><?xml version="1.0" encoding="UTF-8"?><Relationships xmlns="http://schemas.openxmlformats.org/package/2006/relationships"><Relationship Type="http://schemas.openxmlformats.org/officeDocument/2006/relationships/hyperlink" Id="rId25" Target="/academy/articles/find-band-members/" TargetMode="External" /><Relationship Type="http://schemas.openxmlformats.org/officeDocument/2006/relationships/hyperlink" Id="rId24" Target="/academy/articles/the-perfect-audition-how-to-find-the-ideal-band-member/" TargetMode="External" /><Relationship Type="http://schemas.openxmlformats.org/officeDocument/2006/relationships/hyperlink" Id="rId22" Target="/academy/book-resources/audition-structure/" TargetMode="External" /><Relationship Type="http://schemas.openxmlformats.org/officeDocument/2006/relationships/hyperlink" Id="rId23" Target="/academy/book-resources/observation-checklist/" TargetMode="External" /><Relationship Type="http://schemas.openxmlformats.org/officeDocument/2006/relationships/hyperlink" Id="rId26" Target="/academy/topics/band-relationships/" TargetMode="External" /><Relationship Type="http://schemas.openxmlformats.org/officeDocument/2006/relationships/hyperlink" Id="rId14" Target="/director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2026-07-27T17:58:43Z</dcterms:created>
  <dcterms:modified xsi:type="dcterms:W3CDTF">2026-07-27T17:58:43Z</dcterms:modified>
</cp:coreProperties>
</file>

<file path=docProps/custom.xml><?xml version="1.0" encoding="utf-8"?>
<Properties xmlns="http://schemas.openxmlformats.org/officeDocument/2006/custom-properties" xmlns:vt="http://schemas.openxmlformats.org/officeDocument/2006/docPropsVTypes"/>
</file>