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band-culture-guide"/>
    <w:p>
      <w:pPr>
        <w:pStyle w:val="Heading1"/>
      </w:pPr>
      <w:r>
        <w:t xml:space="preserve">Band Culture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Band Culture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building and maintaining positive band culture.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Culture is behavior under stress—not a poster. Defaults for lateness, money talk, and feedback are culture whether you write them or not.</w:t>
      </w:r>
    </w:p>
    <w:bookmarkEnd w:id="9"/>
    <w:bookmarkStart w:id="10" w:name="write-non-negotiables-plainly"/>
    <w:p>
      <w:pPr>
        <w:pStyle w:val="Heading2"/>
      </w:pPr>
      <w:r>
        <w:t xml:space="preserve">Write non-negotiables plainly</w:t>
      </w:r>
    </w:p>
    <w:p>
      <w:pPr>
        <w:pStyle w:val="FirstParagraph"/>
      </w:pPr>
      <w:r>
        <w:t xml:space="preserve">Three to five rules with examples beat a manifesto nobody remembers on a tired Saturday. If it needs a glossary, it will not survive load-in — namely, three to five rules with examples beat a manifesto nobody remembers on a tired Saturday. If it needs a glossary, it will not survive load-in.</w:t>
      </w:r>
    </w:p>
    <w:p>
      <w:pPr>
        <w:pStyle w:val="BodyText"/>
      </w:pPr>
      <w:r>
        <w:t xml:space="preserve">Examples: start within five minutes of call time; money talks happen with the sheet open; feedback is private first; namely examples: start within five minutes of call time; money talks happen with the sheet open; feedback is private first.; hence examples: start within five minutes of call time; money talks happen with the sheet open; feedback is private first.</w:t>
      </w:r>
    </w:p>
    <w:bookmarkEnd w:id="10"/>
    <w:bookmarkStart w:id="11" w:name="teach-early"/>
    <w:p>
      <w:pPr>
        <w:pStyle w:val="Heading2"/>
      </w:pPr>
      <w:r>
        <w:t xml:space="preserve">Teach early</w:t>
      </w:r>
    </w:p>
    <w:p>
      <w:pPr>
        <w:pStyle w:val="FirstParagraph"/>
      </w:pPr>
      <w:r>
        <w:t xml:space="preserve">New members learn culture in onboarding week one—not by accident month three; Surprise norms create accidental rebels and unfair “they just don’t get it” stories — namely, new members learn culture in onboarding week one—not by accident month three. Surprise norms create accidental rebels and unfair “they just don’t get it” stories.</w:t>
      </w:r>
    </w:p>
    <w:p>
      <w:pPr>
        <w:pStyle w:val="BodyText"/>
      </w:pPr>
      <w:r>
        <w:t xml:space="preserve">Surprise norms create accidental rebels and unfair “they just don’t get it” stories; New members learn culture in onboarding week one—not by accident month three — next, surprise norms create accidental rebels and unfair “they just don’t get it” stories. New members learn culture in onboarding week one—not by accident month three.</w:t>
      </w:r>
    </w:p>
    <w:bookmarkEnd w:id="11"/>
    <w:bookmarkStart w:id="12" w:name="reset-out-loud"/>
    <w:p>
      <w:pPr>
        <w:pStyle w:val="Heading2"/>
      </w:pPr>
      <w:r>
        <w:t xml:space="preserve">Reset out loud</w:t>
      </w:r>
    </w:p>
    <w:p>
      <w:pPr>
        <w:pStyle w:val="FirstParagraph"/>
      </w:pPr>
      <w:r>
        <w:t xml:space="preserve">Culture can change when goals change, but only with explicit reset; Silent evolution creates two bands in one room—one following old rules, one following new ones nobody announced — namely, culture can change when goals change, but only with explicit reset. Silent evolution creates two bands in one room—one following old rules, one following new ones nobody announced.</w:t>
      </w:r>
    </w:p>
    <w:p>
      <w:pPr>
        <w:pStyle w:val="BodyText"/>
      </w:pPr>
      <w:r>
        <w:t xml:space="preserve">Silent evolution creates two bands in one room—one following old rules, one following new ones nobody announced. Culture can change when goals change, but only with explicit reset — next, silent evolution creates two bands in one room—one following old rules, one following new ones nobody announced. Culture can change when goals change, but only with explicit reset.</w:t>
      </w:r>
    </w:p>
    <w:bookmarkEnd w:id="12"/>
    <w:bookmarkStart w:id="13" w:name="fill-in-culture-basics"/>
    <w:p>
      <w:pPr>
        <w:pStyle w:val="Heading2"/>
      </w:pPr>
      <w:r>
        <w:t xml:space="preserve">Fill-in: Culture basics</w:t>
      </w:r>
    </w:p>
    <w:p>
      <w:pPr>
        <w:pStyle w:val="FirstParagraph"/>
      </w:pPr>
      <w:r>
        <w:rPr>
          <w:b/>
          <w:bCs/>
        </w:rPr>
        <w:t xml:space="preserve">Non-negotiable 1-3: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How we handle lateness: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How we give feedback: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Write three culture non-negotiables and share before the next hire.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is-band-culture-in-practical-terms"/>
    <w:p>
      <w:pPr>
        <w:pStyle w:val="Heading3"/>
      </w:pPr>
      <w:r>
        <w:t xml:space="preserve">What is band culture in practical terms?</w:t>
      </w:r>
    </w:p>
    <w:p>
      <w:pPr>
        <w:pStyle w:val="FirstParagraph"/>
      </w:pPr>
      <w:r>
        <w:t xml:space="preserve">The defaults people can count on: how late is late, how money is discussed, how feedback is given, and what “professional” means on a load-in. Culture is behavior under stress, not a mission poster.</w:t>
      </w:r>
    </w:p>
    <w:bookmarkEnd w:id="17"/>
    <w:bookmarkStart w:id="18" w:name="X0e0a79b8a4d51b3cb646bad023c2be75d417466"/>
    <w:p>
      <w:pPr>
        <w:pStyle w:val="Heading3"/>
      </w:pPr>
      <w:r>
        <w:t xml:space="preserve">How do we write culture without sounding corporate?</w:t>
      </w:r>
    </w:p>
    <w:p>
      <w:pPr>
        <w:pStyle w:val="FirstParagraph"/>
      </w:pPr>
      <w:r>
        <w:t xml:space="preserve">Name three to five non-negotiables in plain language and one example each. If it needs a glossary, it will not survive a tired Saturday.</w:t>
      </w:r>
    </w:p>
    <w:bookmarkEnd w:id="18"/>
    <w:bookmarkStart w:id="19" w:name="X17d8f3df618085c9c1dc672e286a179c485dfe2"/>
    <w:p>
      <w:pPr>
        <w:pStyle w:val="Heading3"/>
      </w:pPr>
      <w:r>
        <w:t xml:space="preserve">When should new members learn the culture?</w:t>
      </w:r>
    </w:p>
    <w:p>
      <w:pPr>
        <w:pStyle w:val="FirstParagraph"/>
      </w:pPr>
      <w:r>
        <w:t xml:space="preserve">Before the first full rehearsal week ends—ideally during onboarding. Surprise norms create accidental rebels.</w:t>
      </w:r>
    </w:p>
    <w:bookmarkEnd w:id="19"/>
    <w:bookmarkStart w:id="20" w:name="can-culture-change-mid-project"/>
    <w:p>
      <w:pPr>
        <w:pStyle w:val="Heading3"/>
      </w:pPr>
      <w:r>
        <w:t xml:space="preserve">Can culture change mid-project?</w:t>
      </w:r>
    </w:p>
    <w:p>
      <w:pPr>
        <w:pStyle w:val="FirstParagraph"/>
      </w:pPr>
      <w:r>
        <w:t xml:space="preserve">Yes, but only with an explicit reset. Silent evolution creates two bands in one room.</w:t>
      </w:r>
    </w:p>
    <w:bookmarkEnd w:id="20"/>
    <w:bookmarkEnd w:id="21"/>
    <w:bookmarkStart w:id="27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Onboarding checklist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Core vision worksheet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agreement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Tips for finding the right bandmates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Band relationships topic</w:t>
        </w:r>
      </w:hyperlink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tips-for-finding-the-right-bandmates-a-guide-to-musical-success/" TargetMode="External" /><Relationship Type="http://schemas.openxmlformats.org/officeDocument/2006/relationships/hyperlink" Id="rId24" Target="/academy/book-resources/band-agreement/" TargetMode="External" /><Relationship Type="http://schemas.openxmlformats.org/officeDocument/2006/relationships/hyperlink" Id="rId23" Target="/academy/book-resources/core-vision-worksheet/" TargetMode="External" /><Relationship Type="http://schemas.openxmlformats.org/officeDocument/2006/relationships/hyperlink" Id="rId22" Target="/academy/book-resources/onboarding-checklist/" TargetMode="External" /><Relationship Type="http://schemas.openxmlformats.org/officeDocument/2006/relationships/hyperlink" Id="rId26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tips-for-finding-the-right-bandmates-a-guide-to-musical-success/" TargetMode="External" /><Relationship Type="http://schemas.openxmlformats.org/officeDocument/2006/relationships/hyperlink" Id="rId24" Target="/academy/book-resources/band-agreement/" TargetMode="External" /><Relationship Type="http://schemas.openxmlformats.org/officeDocument/2006/relationships/hyperlink" Id="rId23" Target="/academy/book-resources/core-vision-worksheet/" TargetMode="External" /><Relationship Type="http://schemas.openxmlformats.org/officeDocument/2006/relationships/hyperlink" Id="rId22" Target="/academy/book-resources/onboarding-checklist/" TargetMode="External" /><Relationship Type="http://schemas.openxmlformats.org/officeDocument/2006/relationships/hyperlink" Id="rId26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2026-07-27T17:58:43Z</dcterms:created>
  <dcterms:modified xsi:type="dcterms:W3CDTF">2026-07-27T17:58:43Z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