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band-check-in-template"/>
    <w:p>
      <w:pPr>
        <w:pStyle w:val="Heading1"/>
      </w:pPr>
      <w:r>
        <w:t xml:space="preserve">Band Check-In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Band Check-In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regular band check-in meetings.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Small frictions stack into crises when nobody checks in. Short scheduled check-ins are maintenance, not drama.</w:t>
      </w:r>
    </w:p>
    <w:bookmarkEnd w:id="9"/>
    <w:bookmarkStart w:id="10" w:name="cadence-that-works"/>
    <w:p>
      <w:pPr>
        <w:pStyle w:val="Heading2"/>
      </w:pPr>
      <w:r>
        <w:t xml:space="preserve">Cadence that works</w:t>
      </w:r>
    </w:p>
    <w:p>
      <w:pPr>
        <w:pStyle w:val="FirstParagraph"/>
      </w:pPr>
      <w:r>
        <w:t xml:space="preserve">Monthly is enough for most bands; weekly only in high-stress seasons like release or tour. Longer than a quarter without a real conversation compounds resentment that will fake itself as a “creative difference.” — namely, monthly is enough for most bands; weekly only in high-stress seasons like release or tour. Longer than a quarter without a real conversation compounds resentment that will fake itself as a “creative difference.”.</w:t>
      </w:r>
    </w:p>
    <w:p>
      <w:pPr>
        <w:pStyle w:val="BodyText"/>
      </w:pPr>
      <w:r>
        <w:t xml:space="preserve">Put the check-in on the calendar like a rehearsal. Optional check-ins do not happen; namely put the check-in on the calendar like a rehearsal. Optional check-ins do not happen.; hence put the check-in on the calendar like a rehearsal. Optional check-ins do not happen.</w:t>
      </w:r>
    </w:p>
    <w:bookmarkEnd w:id="10"/>
    <w:bookmarkStart w:id="11" w:name="X5a3a4205e56cfadf249eb8ca4eb6f0b27756f33"/>
    <w:p>
      <w:pPr>
        <w:pStyle w:val="Heading2"/>
      </w:pPr>
      <w:r>
        <w:t xml:space="preserve">What belongs in check-in versus rehearsal</w:t>
      </w:r>
    </w:p>
    <w:p>
      <w:pPr>
        <w:pStyle w:val="FirstParagraph"/>
      </w:pPr>
      <w:r>
        <w:t xml:space="preserve">Feelings, logistics, money surprises, and relationship friction belong in check-ins; Song form debates belong in rehearsal with time boxes. Mixing both usually does neither well and burns the clock twice — namely, feelings, logistics, money surprises, and relationship friction belong in check-ins. Song form debates belong in rehearsal with time boxes. Mixing both usually does neither well and burns the clock twice.</w:t>
      </w:r>
    </w:p>
    <w:p>
      <w:pPr>
        <w:pStyle w:val="BodyText"/>
      </w:pPr>
      <w:r>
        <w:t xml:space="preserve">Mixing both usually does neither well and burns the clock twice; Song form debates belong in rehearsal with time boxes. Feelings, logistics, money surprises, and relationship friction belong in check-ins — next, mixing both usually does neither well and burns the clock twice. Song form debates belong in rehearsal with time boxes. Feelings, logistics, money surprises, and relationship friction belong in check-ins.</w:t>
      </w:r>
    </w:p>
    <w:bookmarkEnd w:id="11"/>
    <w:bookmarkStart w:id="12" w:name="facilitation-and-refusal"/>
    <w:p>
      <w:pPr>
        <w:pStyle w:val="Heading2"/>
      </w:pPr>
      <w:r>
        <w:t xml:space="preserve">Facilitation and refusal</w:t>
      </w:r>
    </w:p>
    <w:p>
      <w:pPr>
        <w:pStyle w:val="FirstParagraph"/>
      </w:pPr>
      <w:r>
        <w:t xml:space="preserve">Rotate facilitators if trust is high; otherwise designate a leader who owns the agenda. Persistent refusal of all shared process is membership data, not a personality quirk to forever accommodate — namely, rotate facilitators if trust is high; otherwise designate a leader who owns the agenda. Persistent refusal of all shared process is membership data, not a personality quirk to forever accommodate.</w:t>
      </w:r>
    </w:p>
    <w:p>
      <w:pPr>
        <w:pStyle w:val="BodyText"/>
      </w:pPr>
      <w:r>
        <w:t xml:space="preserve">Persistent refusal of all shared process is membership data, not a personality quirk to forever accommodate. Rotate facilitators if trust is high; otherwise designate a leader who owns the agenda — next, persistent refusal of all shared process is membership data, not a personality quirk to forever accommodate. Rotate facilitators if trust is high; otherwise designate a leader who owns the agenda.</w:t>
      </w:r>
    </w:p>
    <w:bookmarkEnd w:id="12"/>
    <w:bookmarkStart w:id="13" w:name="fill-in-next-check-in"/>
    <w:p>
      <w:pPr>
        <w:pStyle w:val="Heading2"/>
      </w:pPr>
      <w:r>
        <w:t xml:space="preserve">Fill-in: Next check-in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Facilitator: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Topics: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Decisions log: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Schedule a 30-minute check-in this month with a written agenda.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a919da542de8b08b587a414766f412c23f26788"/>
    <w:p>
      <w:pPr>
        <w:pStyle w:val="Heading3"/>
      </w:pPr>
      <w:r>
        <w:t xml:space="preserve">How often should a working band run check-ins?</w:t>
      </w:r>
    </w:p>
    <w:p>
      <w:pPr>
        <w:pStyle w:val="FirstParagraph"/>
      </w:pPr>
      <w:r>
        <w:t xml:space="preserve">Monthly is enough for most groups; weekly only during high-stress seasons (release, tour, member change). Longer than a quarter without a real conversation is how resentment compounds.</w:t>
      </w:r>
    </w:p>
    <w:bookmarkEnd w:id="17"/>
    <w:bookmarkStart w:id="18" w:name="X5dc3a7da4630063e4d01372761bd31f3743aced"/>
    <w:p>
      <w:pPr>
        <w:pStyle w:val="Heading3"/>
      </w:pPr>
      <w:r>
        <w:t xml:space="preserve">What belongs in a check-in vs a creative rehearsal?</w:t>
      </w:r>
    </w:p>
    <w:p>
      <w:pPr>
        <w:pStyle w:val="FirstParagraph"/>
      </w:pPr>
      <w:r>
        <w:t xml:space="preserve">Feelings, logistics, money surprises, and relationship friction belong in check-ins. Song form debates belong in rehearsal with a time box. Mixing both usually does neither well.</w:t>
      </w:r>
    </w:p>
    <w:bookmarkEnd w:id="18"/>
    <w:bookmarkStart w:id="19" w:name="who-should-facilitate"/>
    <w:p>
      <w:pPr>
        <w:pStyle w:val="Heading3"/>
      </w:pPr>
      <w:r>
        <w:t xml:space="preserve">Who should facilitate?</w:t>
      </w:r>
    </w:p>
    <w:p>
      <w:pPr>
        <w:pStyle w:val="FirstParagraph"/>
      </w:pPr>
      <w:r>
        <w:t xml:space="preserve">Rotate if trust is high; otherwise a designated leader with a neutral agenda. The facilitator’s job is airtime and decisions—not monologue.</w:t>
      </w:r>
    </w:p>
    <w:bookmarkEnd w:id="19"/>
    <w:bookmarkStart w:id="20" w:name="what-if-someone-refuses-check-ins"/>
    <w:p>
      <w:pPr>
        <w:pStyle w:val="Heading3"/>
      </w:pPr>
      <w:r>
        <w:t xml:space="preserve">What if someone refuses check-ins?</w:t>
      </w:r>
    </w:p>
    <w:p>
      <w:pPr>
        <w:pStyle w:val="FirstParagraph"/>
      </w:pPr>
      <w:r>
        <w:t xml:space="preserve">That is data. Persistent refusal of shared process is a membership issue, not a calendar problem.</w:t>
      </w:r>
    </w:p>
    <w:bookmarkEnd w:id="20"/>
    <w:bookmarkEnd w:id="21"/>
    <w:bookmarkStart w:id="27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Check-in template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Meeting agenda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Conflict resolution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Working in harmony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Band relationships topic</w:t>
        </w:r>
      </w:hyperlink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working-in-harmony-tips-for-bands-to-collaborate-as-a-strong-team/" TargetMode="External" /><Relationship Type="http://schemas.openxmlformats.org/officeDocument/2006/relationships/hyperlink" Id="rId22" Target="/academy/book-resources/check-in-template/" TargetMode="External" /><Relationship Type="http://schemas.openxmlformats.org/officeDocument/2006/relationships/hyperlink" Id="rId24" Target="/academy/book-resources/conflict-resolution/" TargetMode="External" /><Relationship Type="http://schemas.openxmlformats.org/officeDocument/2006/relationships/hyperlink" Id="rId23" Target="/academy/book-resources/meeting-agenda/" TargetMode="External" /><Relationship Type="http://schemas.openxmlformats.org/officeDocument/2006/relationships/hyperlink" Id="rId26" Target="/academy/topics/band-relationship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working-in-harmony-tips-for-bands-to-collaborate-as-a-strong-team/" TargetMode="External" /><Relationship Type="http://schemas.openxmlformats.org/officeDocument/2006/relationships/hyperlink" Id="rId22" Target="/academy/book-resources/check-in-template/" TargetMode="External" /><Relationship Type="http://schemas.openxmlformats.org/officeDocument/2006/relationships/hyperlink" Id="rId24" Target="/academy/book-resources/conflict-resolution/" TargetMode="External" /><Relationship Type="http://schemas.openxmlformats.org/officeDocument/2006/relationships/hyperlink" Id="rId23" Target="/academy/book-resources/meeting-agenda/" TargetMode="External" /><Relationship Type="http://schemas.openxmlformats.org/officeDocument/2006/relationships/hyperlink" Id="rId26" Target="/academy/topics/band-relationship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2026-07-27T17:58:43Z</dcterms:created>
  <dcterms:modified xsi:type="dcterms:W3CDTF">2026-07-27T17:58:43Z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