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attendance-expectations-template"/>
    <w:p>
      <w:pPr>
        <w:pStyle w:val="Heading1"/>
      </w:pPr>
      <w:r>
        <w:t xml:space="preserve">Attendance Expectations Template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Attendance Expectations Template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Template for setting and communicating attendance expectations.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Attendance expectations balance life with commitment. Without them, reliable members subsidize chaos and eventually leave.</w:t>
      </w:r>
    </w:p>
    <w:bookmarkEnd w:id="9"/>
    <w:bookmarkStart w:id="10" w:name="match-rules-to-goals"/>
    <w:p>
      <w:pPr>
        <w:pStyle w:val="Heading2"/>
      </w:pPr>
      <w:r>
        <w:t xml:space="preserve">Match rules to goals</w:t>
      </w:r>
    </w:p>
    <w:p>
      <w:pPr>
        <w:pStyle w:val="FirstParagraph"/>
      </w:pPr>
      <w:r>
        <w:t xml:space="preserve">A paid private-event band can require firm Saturdays; a writing collective may flex. Write the real standard you will enforce—not aspirational toughness that collapses the first time a day job conflicts. Progressive response works: private check-in, written expectations, role review or sub plan, exit conversation.</w:t>
      </w:r>
    </w:p>
    <w:p>
      <w:pPr>
        <w:pStyle w:val="BodyText"/>
      </w:pPr>
      <w:r>
        <w:t xml:space="preserve">Public shaming destroys culture faster than absences. Fair process is the point; namely public shaming destroys culture faster than absences. Fair process is the point.; hence public shaming destroys culture faster than absences. Fair process is the point.; thus public shaming destroys culture faster than absences. Fair process is the point.</w:t>
      </w:r>
    </w:p>
    <w:bookmarkEnd w:id="10"/>
    <w:bookmarkStart w:id="11" w:name="emergencies-versus-patterns"/>
    <w:p>
      <w:pPr>
        <w:pStyle w:val="Heading2"/>
      </w:pPr>
      <w:r>
        <w:t xml:space="preserve">Emergencies versus patterns</w:t>
      </w:r>
    </w:p>
    <w:p>
      <w:pPr>
        <w:pStyle w:val="FirstParagraph"/>
      </w:pPr>
      <w:r>
        <w:t xml:space="preserve">Define notice for illness and true emergencies; Reliability is patterns and communication, not perfection. A single emergency with clear notice is human; a monthly mystery no-show is a system problem — namely, define notice for illness and true emergencies. Reliability is patterns and communication, not perfection. A single emergency with clear notice is human; a monthly mystery no-show is a system problem.</w:t>
      </w:r>
    </w:p>
    <w:p>
      <w:pPr>
        <w:pStyle w:val="BodyText"/>
      </w:pPr>
      <w:r>
        <w:t xml:space="preserve">A single emergency with clear notice is human; a monthly mystery no-show is a system problem. Reliability is patterns and communication, not perfection; Define notice for illness and true emergencies — next, a single emergency with clear notice is human; a monthly mystery no-show is a system problem. Reliability is patterns and communication, not perfection. Define notice for illness and true emergencies.</w:t>
      </w:r>
    </w:p>
    <w:bookmarkEnd w:id="11"/>
    <w:bookmarkStart w:id="12" w:name="put-it-in-the-agreement"/>
    <w:p>
      <w:pPr>
        <w:pStyle w:val="Heading2"/>
      </w:pPr>
      <w:r>
        <w:t xml:space="preserve">Put it in the agreement</w:t>
      </w:r>
    </w:p>
    <w:p>
      <w:pPr>
        <w:pStyle w:val="FirstParagraph"/>
      </w:pPr>
      <w:r>
        <w:t xml:space="preserve">Call times, notice windows, and consequences belong next to money and gear rules for working bands. If it is not written, it will be “remembered differently” under stress — namely, call times, notice windows, and consequences belong next to money and gear rules for working bands. If it is not written, it will be “remembered differently” under stress.</w:t>
      </w:r>
    </w:p>
    <w:p>
      <w:pPr>
        <w:pStyle w:val="BodyText"/>
      </w:pPr>
      <w:r>
        <w:t xml:space="preserve">If it is not written, it will be “remembered differently” under stress; Call times, notice windows, and consequences belong next to money and gear rules for working bands — next, if it is not written, it will be “remembered differently” under stress. Call times, notice windows, and consequences belong next to money and gear rules for working bands.</w:t>
      </w:r>
    </w:p>
    <w:bookmarkEnd w:id="12"/>
    <w:bookmarkStart w:id="13" w:name="fill-in-attendance-policy-notes"/>
    <w:p>
      <w:pPr>
        <w:pStyle w:val="Heading2"/>
      </w:pPr>
      <w:r>
        <w:t xml:space="preserve">Fill-in: Attendance policy notes</w:t>
      </w:r>
    </w:p>
    <w:p>
      <w:pPr>
        <w:pStyle w:val="FirstParagraph"/>
      </w:pPr>
      <w:r>
        <w:rPr>
          <w:b/>
          <w:bCs/>
        </w:rPr>
        <w:t xml:space="preserve">Call time rule: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Notice expectation: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Progressive steps: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Show-night sub rule: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Agree the policy in writing before the next busy month.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4c0c8a07b27cbfa8ea581c9d88d5285eda548dc"/>
    <w:p>
      <w:pPr>
        <w:pStyle w:val="Heading3"/>
      </w:pPr>
      <w:r>
        <w:t xml:space="preserve">How strict should attendance rules be for a hobby band vs a paid project?</w:t>
      </w:r>
    </w:p>
    <w:p>
      <w:pPr>
        <w:pStyle w:val="FirstParagraph"/>
      </w:pPr>
      <w:r>
        <w:t xml:space="preserve">Match rules to goals. A weekend cover project can require firm Saturdays; a songwriting collective may allow more flexible writing weeks. Write the real standard, not an aspirational one nobody will enforce.</w:t>
      </w:r>
    </w:p>
    <w:bookmarkEnd w:id="17"/>
    <w:bookmarkStart w:id="18" w:name="Xc69283e8c7006240286f9a2833ce1bd5a675b4d"/>
    <w:p>
      <w:pPr>
        <w:pStyle w:val="Heading3"/>
      </w:pPr>
      <w:r>
        <w:t xml:space="preserve">What is a fair progressive response to repeated absences?</w:t>
      </w:r>
    </w:p>
    <w:p>
      <w:pPr>
        <w:pStyle w:val="FirstParagraph"/>
      </w:pPr>
      <w:r>
        <w:t xml:space="preserve">Private check-in → written expectations → role review or sub plan → exit conversation if nothing changes. Jumping straight to public shaming destroys culture faster than the absences.</w:t>
      </w:r>
    </w:p>
    <w:bookmarkEnd w:id="18"/>
    <w:bookmarkStart w:id="19" w:name="how-do-we-handle-emergency-absences"/>
    <w:p>
      <w:pPr>
        <w:pStyle w:val="Heading3"/>
      </w:pPr>
      <w:r>
        <w:t xml:space="preserve">How do we handle emergency absences?</w:t>
      </w:r>
    </w:p>
    <w:p>
      <w:pPr>
        <w:pStyle w:val="FirstParagraph"/>
      </w:pPr>
      <w:r>
        <w:t xml:space="preserve">Define what counts (illness, family emergency, travel work) and how notice is given. Reliability is about patterns and communication, not perfection.</w:t>
      </w:r>
    </w:p>
    <w:bookmarkEnd w:id="19"/>
    <w:bookmarkStart w:id="20" w:name="X69f80f51880284d7cf5932ab08e4806faafb229"/>
    <w:p>
      <w:pPr>
        <w:pStyle w:val="Heading3"/>
      </w:pPr>
      <w:r>
        <w:t xml:space="preserve">Should attendance policies live in the band agreement?</w:t>
      </w:r>
    </w:p>
    <w:p>
      <w:pPr>
        <w:pStyle w:val="FirstParagraph"/>
      </w:pPr>
      <w:r>
        <w:t xml:space="preserve">Yes for working bands. Put call times, notice windows, and consequences next to money and gear rules so nobody claims surprise later.</w:t>
      </w:r>
    </w:p>
    <w:bookmarkEnd w:id="20"/>
    <w:bookmarkEnd w:id="21"/>
    <w:bookmarkStart w:id="27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Organize band rehearsals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Rehearsal agenda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Band agreement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Shared calendar for bands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Band management topic</w:t>
        </w:r>
      </w:hyperlink>
    </w:p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/academy/articles/organize-band-rehearsals/" TargetMode="External" /><Relationship Type="http://schemas.openxmlformats.org/officeDocument/2006/relationships/hyperlink" Id="rId25" Target="/academy/articles/shared-calendar-for-bands/" TargetMode="External" /><Relationship Type="http://schemas.openxmlformats.org/officeDocument/2006/relationships/hyperlink" Id="rId24" Target="/academy/book-resources/band-agreement/" TargetMode="External" /><Relationship Type="http://schemas.openxmlformats.org/officeDocument/2006/relationships/hyperlink" Id="rId23" Target="/academy/book-resources/rehearsal-agenda/" TargetMode="External" /><Relationship Type="http://schemas.openxmlformats.org/officeDocument/2006/relationships/hyperlink" Id="rId26" Target="/academy/topics/band-management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/academy/articles/organize-band-rehearsals/" TargetMode="External" /><Relationship Type="http://schemas.openxmlformats.org/officeDocument/2006/relationships/hyperlink" Id="rId25" Target="/academy/articles/shared-calendar-for-bands/" TargetMode="External" /><Relationship Type="http://schemas.openxmlformats.org/officeDocument/2006/relationships/hyperlink" Id="rId24" Target="/academy/book-resources/band-agreement/" TargetMode="External" /><Relationship Type="http://schemas.openxmlformats.org/officeDocument/2006/relationships/hyperlink" Id="rId23" Target="/academy/book-resources/rehearsal-agenda/" TargetMode="External" /><Relationship Type="http://schemas.openxmlformats.org/officeDocument/2006/relationships/hyperlink" Id="rId26" Target="/academy/topics/band-management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2026-07-27T17:58:43Z</dcterms:created>
  <dcterms:modified xsi:type="dcterms:W3CDTF">2026-07-27T17:58:43Z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