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addressing-concerns-guide"/>
    <w:p>
      <w:pPr>
        <w:pStyle w:val="Heading1"/>
      </w:pPr>
      <w:r>
        <w:t xml:space="preserve">Addressing Concerns Guide</w:t>
      </w:r>
    </w:p>
    <w:bookmarkStart w:id="9" w:name="how-to-use-this-guide"/>
    <w:p>
      <w:pPr>
        <w:pStyle w:val="Heading2"/>
      </w:pPr>
      <w:r>
        <w:t xml:space="preserve">How to use this guide</w:t>
      </w:r>
    </w:p>
    <w:p>
      <w:pPr>
        <w:pStyle w:val="FirstParagraph"/>
      </w:pPr>
      <w:r>
        <w:t xml:space="preserve">This is a practical Bandmate Academy guide for</w:t>
      </w:r>
      <w:r>
        <w:t xml:space="preserve"> </w:t>
      </w:r>
      <w:r>
        <w:rPr>
          <w:b/>
          <w:bCs/>
        </w:rPr>
        <w:t xml:space="preserve">Addressing Concerns Guide</w:t>
      </w:r>
      <w:r>
        <w:t xml:space="preserve">. Read it with your band, customize fill-in moments, and treat the DOCX as the working copy you mark up together.</w:t>
      </w:r>
    </w:p>
    <w:p>
      <w:pPr>
        <w:pStyle w:val="BodyText"/>
      </w:pPr>
      <w:r>
        <w:t xml:space="preserve">Guide for addressing concerns discovered during reference checks. Work sections in order, write answers for</w:t>
      </w:r>
      <w:r>
        <w:t xml:space="preserve"> </w:t>
      </w:r>
      <w:r>
        <w:rPr>
          <w:i/>
          <w:iCs/>
        </w:rPr>
        <w:t xml:space="preserve">your</w:t>
      </w:r>
      <w:r>
        <w:t xml:space="preserve"> </w:t>
      </w:r>
      <w:r>
        <w:t xml:space="preserve">lineup, and leave with owners and dates.</w:t>
      </w:r>
    </w:p>
    <w:p>
      <w:pPr>
        <w:pStyle w:val="BodyText"/>
      </w:pPr>
      <w:r>
        <w:rPr>
          <w:b/>
          <w:bCs/>
        </w:rPr>
        <w:t xml:space="preserve">Suggested workflow:</w:t>
      </w:r>
      <w:r>
        <w:t xml:space="preserve"> </w:t>
      </w:r>
      <w:r>
        <w:t xml:space="preserve">(1) skim alone, (2) fill in a 30–45 minute band meeting, (3) store next to calendar and money rules, (4) revisit after lineup or goal changes.</w:t>
      </w:r>
    </w:p>
    <w:p>
      <w:pPr>
        <w:pStyle w:val="BodyText"/>
      </w:pPr>
      <w:r>
        <w:t xml:space="preserve">When a reference or early rehearsal raises a specific worry, you need a fair conversation—not ghosting and not an ambush. Clarity protects everyone.</w:t>
      </w:r>
    </w:p>
    <w:bookmarkEnd w:id="9"/>
    <w:bookmarkStart w:id="10" w:name="what-is-worth-raising"/>
    <w:p>
      <w:pPr>
        <w:pStyle w:val="Heading2"/>
      </w:pPr>
      <w:r>
        <w:t xml:space="preserve">What is worth raising</w:t>
      </w:r>
    </w:p>
    <w:p>
      <w:pPr>
        <w:pStyle w:val="FirstParagraph"/>
      </w:pPr>
      <w:r>
        <w:t xml:space="preserve">Raise anything that would change the hire if true: reliability, money drama, substance issues affecting shows, skill gaps claimed as strengths, or conflicts with existing members. Vague vibes deserve a private leadership chat first; concrete issues deserve a direct conversation.</w:t>
      </w:r>
    </w:p>
    <w:p>
      <w:pPr>
        <w:pStyle w:val="BodyText"/>
      </w:pPr>
      <w:r>
        <w:t xml:space="preserve">Write the concern in one sentence before you speak so you do not escalate into character attacks; namely write the concern in one sentence before you speak so you do not escalate into character attacks.; hence write the concern in one sentence before you speak so you do not escalate into character attacks.</w:t>
      </w:r>
    </w:p>
    <w:bookmarkEnd w:id="10"/>
    <w:bookmarkStart w:id="11" w:name="how-to-raise-a-concern-fairly"/>
    <w:p>
      <w:pPr>
        <w:pStyle w:val="Heading2"/>
      </w:pPr>
      <w:r>
        <w:t xml:space="preserve">How to raise a concern fairly</w:t>
      </w:r>
    </w:p>
    <w:p>
      <w:pPr>
        <w:pStyle w:val="FirstParagraph"/>
      </w:pPr>
      <w:r>
        <w:t xml:space="preserve">State the observation, the source if appropriate, and the impact on the band; Ask for their side. Decide based on fit and honesty—not on winning an interrogation; Document resolutions and any conditions of trust for a trial period — namely, state the observation, the source if appropriate, and the impact on the band. Ask for their side. Decide based on fit and honesty—not on winning an interrogation. Document resolutions and any conditions of trust for a trial period.</w:t>
      </w:r>
    </w:p>
    <w:p>
      <w:pPr>
        <w:pStyle w:val="BodyText"/>
      </w:pPr>
      <w:r>
        <w:t xml:space="preserve">If the explanation is good enough, write the conditions so the issue does not reopen as rumor two months later — next, if the explanation is good enough, write the conditions so the issue does not reopen as rumor two months later.</w:t>
      </w:r>
    </w:p>
    <w:bookmarkEnd w:id="11"/>
    <w:bookmarkStart w:id="12" w:name="when-walking-is-the-adult-move"/>
    <w:p>
      <w:pPr>
        <w:pStyle w:val="Heading2"/>
      </w:pPr>
      <w:r>
        <w:t xml:space="preserve">When walking is the adult move</w:t>
      </w:r>
    </w:p>
    <w:p>
      <w:pPr>
        <w:pStyle w:val="FirstParagraph"/>
      </w:pPr>
      <w:r>
        <w:t xml:space="preserve">If safety, honesty, or core logistics are broken and the role requires trust you no longer have, exit cleanly. Not every concern is coachable; A clean no is kinder than a long maybe that blocks the seat for better fits.</w:t>
      </w:r>
    </w:p>
    <w:p>
      <w:pPr>
        <w:pStyle w:val="BodyText"/>
      </w:pPr>
      <w:r>
        <w:t xml:space="preserve">A clean no is kinder than a long maybe that blocks the seat for better fits. Not every concern is coachable; If safety, honesty, or core logistics are broken and the role requires trust you no longer have, exit cleanly.</w:t>
      </w:r>
    </w:p>
    <w:bookmarkEnd w:id="12"/>
    <w:bookmarkStart w:id="13" w:name="fill-in-concern-conversation-plan"/>
    <w:p>
      <w:pPr>
        <w:pStyle w:val="Heading2"/>
      </w:pPr>
      <w:r>
        <w:t xml:space="preserve">Fill-in: Concern conversation plan</w:t>
      </w:r>
    </w:p>
    <w:p>
      <w:pPr>
        <w:pStyle w:val="FirstParagraph"/>
      </w:pPr>
      <w:r>
        <w:rPr>
          <w:b/>
          <w:bCs/>
        </w:rPr>
        <w:t xml:space="preserve">Concern in one sentence:</w:t>
      </w:r>
      <w:r>
        <w:t xml:space="preserve"> </w:t>
      </w:r>
      <w:r>
        <w:t xml:space="preserve">________</w:t>
      </w:r>
    </w:p>
    <w:p>
      <w:pPr>
        <w:pStyle w:val="BodyText"/>
      </w:pPr>
      <w:r>
        <w:rPr>
          <w:b/>
          <w:bCs/>
        </w:rPr>
        <w:t xml:space="preserve">Impact on band:</w:t>
      </w:r>
      <w:r>
        <w:t xml:space="preserve"> </w:t>
      </w:r>
      <w:r>
        <w:t xml:space="preserve">________</w:t>
      </w:r>
    </w:p>
    <w:p>
      <w:pPr>
        <w:pStyle w:val="BodyText"/>
      </w:pPr>
      <w:r>
        <w:rPr>
          <w:b/>
          <w:bCs/>
        </w:rPr>
        <w:t xml:space="preserve">Questions to ask:</w:t>
      </w:r>
      <w:r>
        <w:t xml:space="preserve"> </w:t>
      </w:r>
      <w:r>
        <w:t xml:space="preserve">________</w:t>
      </w:r>
    </w:p>
    <w:p>
      <w:pPr>
        <w:pStyle w:val="BodyText"/>
      </w:pPr>
      <w:r>
        <w:rPr>
          <w:b/>
          <w:bCs/>
        </w:rPr>
        <w:t xml:space="preserve">Possible outcomes:</w:t>
      </w:r>
      <w:r>
        <w:t xml:space="preserve"> </w:t>
      </w:r>
      <w:r>
        <w:t xml:space="preserve">________</w:t>
      </w:r>
    </w:p>
    <w:bookmarkEnd w:id="13"/>
    <w:bookmarkStart w:id="15" w:name="putting-it-into-practice"/>
    <w:p>
      <w:pPr>
        <w:pStyle w:val="Heading2"/>
      </w:pPr>
      <w:r>
        <w:t xml:space="preserve">Putting it into practice</w:t>
      </w:r>
    </w:p>
    <w:p>
      <w:pPr>
        <w:pStyle w:val="FirstParagraph"/>
      </w:pPr>
      <w:r>
        <w:t xml:space="preserve">If a live concern exists, schedule the conversation within 72 hours—delay is its own decision.</w:t>
      </w:r>
    </w:p>
    <w:p>
      <w:pPr>
        <w:pStyle w:val="BodyText"/>
      </w:pPr>
      <w:r>
        <w:t xml:space="preserve">Reopen this filled guide after lineup changes and before busy seasons. Keep profiles current so opportunities can convert, and use the</w:t>
      </w:r>
      <w:r>
        <w:t xml:space="preserve"> </w:t>
      </w:r>
      <w:hyperlink r:id="rId14">
        <w:r>
          <w:rPr>
            <w:rStyle w:val="Hyperlink"/>
          </w:rPr>
          <w:t xml:space="preserve">directory</w:t>
        </w:r>
      </w:hyperlink>
      <w:r>
        <w:t xml:space="preserve"> </w:t>
      </w:r>
      <w:r>
        <w:t xml:space="preserve">when the next step is finding people.</w:t>
      </w:r>
    </w:p>
    <w:bookmarkEnd w:id="15"/>
    <w:bookmarkStart w:id="16" w:name="a-thirty-day-implementation-sprint"/>
    <w:p>
      <w:pPr>
        <w:pStyle w:val="Heading2"/>
      </w:pPr>
      <w:r>
        <w:t xml:space="preserve">A thirty-day implementation sprint</w:t>
      </w:r>
    </w:p>
    <w:p>
      <w:pPr>
        <w:pStyle w:val="FirstParagraph"/>
      </w:pPr>
      <w:r>
        <w:rPr>
          <w:b/>
          <w:bCs/>
        </w:rPr>
        <w:t xml:space="preserve">Week one:</w:t>
      </w:r>
      <w:r>
        <w:t xml:space="preserve"> </w:t>
      </w:r>
      <w:r>
        <w:t xml:space="preserve">read alone and mark real disagreements.</w:t>
      </w:r>
      <w:r>
        <w:t xml:space="preserve"> </w:t>
      </w:r>
      <w:r>
        <w:rPr>
          <w:b/>
          <w:bCs/>
        </w:rPr>
        <w:t xml:space="preserve">Week two:</w:t>
      </w:r>
      <w:r>
        <w:t xml:space="preserve"> </w:t>
      </w:r>
      <w:r>
        <w:t xml:space="preserve">45-minute meeting—fill blanks, assign owners.</w:t>
      </w:r>
      <w:r>
        <w:t xml:space="preserve"> </w:t>
      </w:r>
      <w:r>
        <w:rPr>
          <w:b/>
          <w:bCs/>
        </w:rPr>
        <w:t xml:space="preserve">Week three:</w:t>
      </w:r>
      <w:r>
        <w:t xml:space="preserve"> </w:t>
      </w:r>
      <w:r>
        <w:t xml:space="preserve">use the rules on real rehearsals or outreach.</w:t>
      </w:r>
      <w:r>
        <w:t xml:space="preserve"> </w:t>
      </w:r>
      <w:r>
        <w:rPr>
          <w:b/>
          <w:bCs/>
        </w:rPr>
        <w:t xml:space="preserve">Week four:</w:t>
      </w:r>
      <w:r>
        <w:t xml:space="preserve"> </w:t>
      </w:r>
      <w:r>
        <w:t xml:space="preserve">amend one page and set the next quarterly revisit.</w:t>
      </w:r>
    </w:p>
    <w:bookmarkEnd w:id="16"/>
    <w:bookmarkStart w:id="21" w:name="faq"/>
    <w:p>
      <w:pPr>
        <w:pStyle w:val="Heading2"/>
      </w:pPr>
      <w:r>
        <w:t xml:space="preserve">FAQ</w:t>
      </w:r>
    </w:p>
    <w:bookmarkStart w:id="17" w:name="Xb3a13252b9654d8c63f1ef0f6305fa1ab18d4c0"/>
    <w:p>
      <w:pPr>
        <w:pStyle w:val="Heading3"/>
      </w:pPr>
      <w:r>
        <w:t xml:space="preserve">What kinds of concerns should we raise with a candidate?</w:t>
      </w:r>
    </w:p>
    <w:p>
      <w:pPr>
        <w:pStyle w:val="FirstParagraph"/>
      </w:pPr>
      <w:r>
        <w:t xml:space="preserve">Anything that would change the hire if true: reliability, money drama, substance issues affecting shows, skill gaps claimed as strengths, or conflicts with existing members. Vague “vibes” still deserve a private leadership chat first, then a fair conversation if you proceed.</w:t>
      </w:r>
    </w:p>
    <w:bookmarkEnd w:id="17"/>
    <w:bookmarkStart w:id="18" w:name="Xc23e5e86f44dcc408f229a513b574dbcbdf0d0d"/>
    <w:p>
      <w:pPr>
        <w:pStyle w:val="Heading3"/>
      </w:pPr>
      <w:r>
        <w:t xml:space="preserve">How do we raise a concern without becoming the police?</w:t>
      </w:r>
    </w:p>
    <w:p>
      <w:pPr>
        <w:pStyle w:val="FirstParagraph"/>
      </w:pPr>
      <w:r>
        <w:t xml:space="preserve">State the specific observation, the source if appropriate, and the impact on the band. Ask for their side. Decide based on clarity and fit—not on winning an interrogation.</w:t>
      </w:r>
    </w:p>
    <w:bookmarkEnd w:id="18"/>
    <w:bookmarkStart w:id="19" w:name="Xeac40b99f787f7cd0278473abfff8c82d42420a"/>
    <w:p>
      <w:pPr>
        <w:pStyle w:val="Heading3"/>
      </w:pPr>
      <w:r>
        <w:t xml:space="preserve">What if the candidate’s explanation is good enough?</w:t>
      </w:r>
    </w:p>
    <w:p>
      <w:pPr>
        <w:pStyle w:val="FirstParagraph"/>
      </w:pPr>
      <w:r>
        <w:t xml:space="preserve">Document the resolution and the conditions of trust (trial period, check-ins). Moving forward without that record often reopens the same fight later.</w:t>
      </w:r>
    </w:p>
    <w:bookmarkEnd w:id="19"/>
    <w:bookmarkStart w:id="20" w:name="X4ac9fd1be82f857abb8a7634ae1d7d70adb65f6"/>
    <w:p>
      <w:pPr>
        <w:pStyle w:val="Heading3"/>
      </w:pPr>
      <w:r>
        <w:t xml:space="preserve">When should we walk away instead of discussing further?</w:t>
      </w:r>
    </w:p>
    <w:p>
      <w:pPr>
        <w:pStyle w:val="FirstParagraph"/>
      </w:pPr>
      <w:r>
        <w:t xml:space="preserve">When safety, honesty, or core logistics are broken and the role requires trust you no longer have. Not every concern is coachable; some are deal-breakers.</w:t>
      </w:r>
    </w:p>
    <w:bookmarkEnd w:id="20"/>
    <w:bookmarkEnd w:id="21"/>
    <w:bookmarkStart w:id="28" w:name="related-guides"/>
    <w:p>
      <w:pPr>
        <w:pStyle w:val="Heading2"/>
      </w:pPr>
      <w:r>
        <w:t xml:space="preserve">Related guides</w:t>
      </w:r>
    </w:p>
    <w:p>
      <w:pPr>
        <w:pStyle w:val="Compact"/>
        <w:numPr>
          <w:ilvl w:val="0"/>
          <w:numId w:val="1001"/>
        </w:numPr>
      </w:pPr>
      <w:hyperlink r:id="rId22">
        <w:r>
          <w:rPr>
            <w:rStyle w:val="Hyperlink"/>
          </w:rPr>
          <w:t xml:space="preserve">Reference check template</w:t>
        </w:r>
      </w:hyperlink>
    </w:p>
    <w:p>
      <w:pPr>
        <w:pStyle w:val="Compact"/>
        <w:numPr>
          <w:ilvl w:val="0"/>
          <w:numId w:val="1001"/>
        </w:numPr>
      </w:pPr>
      <w:hyperlink r:id="rId23">
        <w:r>
          <w:rPr>
            <w:rStyle w:val="Hyperlink"/>
          </w:rPr>
          <w:t xml:space="preserve">Reference questions</w:t>
        </w:r>
      </w:hyperlink>
    </w:p>
    <w:p>
      <w:pPr>
        <w:pStyle w:val="Compact"/>
        <w:numPr>
          <w:ilvl w:val="0"/>
          <w:numId w:val="1001"/>
        </w:numPr>
      </w:pPr>
      <w:hyperlink r:id="rId24">
        <w:r>
          <w:rPr>
            <w:rStyle w:val="Hyperlink"/>
          </w:rPr>
          <w:t xml:space="preserve">The perfect audition</w:t>
        </w:r>
      </w:hyperlink>
    </w:p>
    <w:p>
      <w:pPr>
        <w:pStyle w:val="Compact"/>
        <w:numPr>
          <w:ilvl w:val="0"/>
          <w:numId w:val="1001"/>
        </w:numPr>
      </w:pPr>
      <w:hyperlink r:id="rId25">
        <w:r>
          <w:rPr>
            <w:rStyle w:val="Hyperlink"/>
          </w:rPr>
          <w:t xml:space="preserve">Find band members</w:t>
        </w:r>
      </w:hyperlink>
    </w:p>
    <w:p>
      <w:pPr>
        <w:pStyle w:val="Compact"/>
        <w:numPr>
          <w:ilvl w:val="0"/>
          <w:numId w:val="1001"/>
        </w:numPr>
      </w:pPr>
      <w:hyperlink r:id="rId26">
        <w:r>
          <w:rPr>
            <w:rStyle w:val="Hyperlink"/>
          </w:rPr>
          <w:t xml:space="preserve">Red flags checklist</w:t>
        </w:r>
      </w:hyperlink>
    </w:p>
    <w:p>
      <w:pPr>
        <w:pStyle w:val="Compact"/>
        <w:numPr>
          <w:ilvl w:val="0"/>
          <w:numId w:val="1001"/>
        </w:numPr>
      </w:pPr>
      <w:hyperlink r:id="rId27">
        <w:r>
          <w:rPr>
            <w:rStyle w:val="Hyperlink"/>
          </w:rPr>
          <w:t xml:space="preserve">Band relationships topic</w:t>
        </w:r>
      </w:hyperlink>
    </w:p>
    <w:bookmarkEnd w:id="28"/>
    <w:bookmarkEnd w:id="2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5" Target="/academy/articles/find-band-members/" TargetMode="External" /><Relationship Type="http://schemas.openxmlformats.org/officeDocument/2006/relationships/hyperlink" Id="rId24" Target="/academy/articles/the-perfect-audition-how-to-find-the-ideal-band-member/" TargetMode="External" /><Relationship Type="http://schemas.openxmlformats.org/officeDocument/2006/relationships/hyperlink" Id="rId26" Target="/academy/book-resources/red-flags-checklist/" TargetMode="External" /><Relationship Type="http://schemas.openxmlformats.org/officeDocument/2006/relationships/hyperlink" Id="rId22" Target="/academy/book-resources/reference-check-template/" TargetMode="External" /><Relationship Type="http://schemas.openxmlformats.org/officeDocument/2006/relationships/hyperlink" Id="rId23" Target="/academy/book-resources/reference-questions/" TargetMode="External" /><Relationship Type="http://schemas.openxmlformats.org/officeDocument/2006/relationships/hyperlink" Id="rId27" Target="/academy/topics/band-relationships/" TargetMode="External" /><Relationship Type="http://schemas.openxmlformats.org/officeDocument/2006/relationships/hyperlink" Id="rId14" Target="/directory/" TargetMode="External" /></Relationships>
</file>

<file path=word/_rels/footnotes.xml.rels><?xml version="1.0" encoding="UTF-8"?><Relationships xmlns="http://schemas.openxmlformats.org/package/2006/relationships"><Relationship Type="http://schemas.openxmlformats.org/officeDocument/2006/relationships/hyperlink" Id="rId25" Target="/academy/articles/find-band-members/" TargetMode="External" /><Relationship Type="http://schemas.openxmlformats.org/officeDocument/2006/relationships/hyperlink" Id="rId24" Target="/academy/articles/the-perfect-audition-how-to-find-the-ideal-band-member/" TargetMode="External" /><Relationship Type="http://schemas.openxmlformats.org/officeDocument/2006/relationships/hyperlink" Id="rId26" Target="/academy/book-resources/red-flags-checklist/" TargetMode="External" /><Relationship Type="http://schemas.openxmlformats.org/officeDocument/2006/relationships/hyperlink" Id="rId22" Target="/academy/book-resources/reference-check-template/" TargetMode="External" /><Relationship Type="http://schemas.openxmlformats.org/officeDocument/2006/relationships/hyperlink" Id="rId23" Target="/academy/book-resources/reference-questions/" TargetMode="External" /><Relationship Type="http://schemas.openxmlformats.org/officeDocument/2006/relationships/hyperlink" Id="rId27" Target="/academy/topics/band-relationships/" TargetMode="External" /><Relationship Type="http://schemas.openxmlformats.org/officeDocument/2006/relationships/hyperlink" Id="rId14" Target="/directory/"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2026-07-27T17:58:43Z</dcterms:created>
  <dcterms:modified xsi:type="dcterms:W3CDTF">2026-07-27T17:58:43Z</dcterms:modified>
</cp:coreProperties>
</file>

<file path=docProps/custom.xml><?xml version="1.0" encoding="utf-8"?>
<Properties xmlns="http://schemas.openxmlformats.org/officeDocument/2006/custom-properties" xmlns:vt="http://schemas.openxmlformats.org/officeDocument/2006/docPropsVTypes"/>
</file>